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31CD4">
      <w:pPr>
        <w:spacing w:line="312" w:lineRule="auto"/>
        <w:rPr>
          <w:rFonts w:ascii="宋体" w:hAnsi="宋体" w:eastAsia="宋体"/>
        </w:rPr>
      </w:pPr>
    </w:p>
    <w:p w14:paraId="55DB3D82">
      <w:pPr>
        <w:spacing w:line="312" w:lineRule="auto"/>
        <w:rPr>
          <w:rFonts w:ascii="宋体" w:hAnsi="宋体" w:eastAsia="宋体"/>
        </w:rPr>
      </w:pPr>
    </w:p>
    <w:p w14:paraId="076CC93C">
      <w:pPr>
        <w:spacing w:line="312" w:lineRule="auto"/>
        <w:rPr>
          <w:rFonts w:ascii="宋体" w:hAnsi="宋体" w:eastAsia="宋体"/>
        </w:rPr>
      </w:pPr>
    </w:p>
    <w:p w14:paraId="173D31E1">
      <w:pPr>
        <w:spacing w:line="312" w:lineRule="auto"/>
        <w:rPr>
          <w:rFonts w:ascii="宋体" w:hAnsi="宋体" w:eastAsia="宋体"/>
        </w:rPr>
      </w:pPr>
    </w:p>
    <w:p w14:paraId="74B2EE54">
      <w:pPr>
        <w:spacing w:line="312" w:lineRule="auto"/>
        <w:rPr>
          <w:rFonts w:ascii="宋体" w:hAnsi="宋体" w:eastAsia="宋体"/>
        </w:rPr>
      </w:pPr>
    </w:p>
    <w:p w14:paraId="1D6F00F0">
      <w:pPr>
        <w:spacing w:line="312" w:lineRule="auto"/>
        <w:rPr>
          <w:rFonts w:ascii="宋体" w:hAnsi="宋体" w:eastAsia="宋体"/>
        </w:rPr>
      </w:pPr>
    </w:p>
    <w:p w14:paraId="1A1F5212">
      <w:pPr>
        <w:spacing w:line="312" w:lineRule="auto"/>
        <w:rPr>
          <w:rFonts w:ascii="宋体" w:hAnsi="宋体" w:eastAsia="宋体"/>
        </w:rPr>
      </w:pPr>
    </w:p>
    <w:p w14:paraId="5860BAA7">
      <w:pPr>
        <w:spacing w:line="312" w:lineRule="auto"/>
        <w:rPr>
          <w:rFonts w:ascii="宋体" w:hAnsi="宋体" w:eastAsia="宋体"/>
        </w:rPr>
      </w:pPr>
    </w:p>
    <w:p w14:paraId="2EE15657">
      <w:pPr>
        <w:spacing w:line="312" w:lineRule="auto"/>
        <w:rPr>
          <w:rFonts w:ascii="宋体" w:hAnsi="宋体" w:eastAsia="宋体"/>
        </w:rPr>
      </w:pPr>
    </w:p>
    <w:p w14:paraId="63FA5331">
      <w:pPr>
        <w:spacing w:line="312" w:lineRule="auto"/>
        <w:rPr>
          <w:rFonts w:ascii="宋体" w:hAnsi="宋体" w:eastAsia="宋体"/>
        </w:rPr>
      </w:pPr>
    </w:p>
    <w:p w14:paraId="4F0C4A6E">
      <w:pPr>
        <w:spacing w:line="312" w:lineRule="auto"/>
        <w:rPr>
          <w:rFonts w:ascii="宋体" w:hAnsi="宋体" w:eastAsia="宋体"/>
        </w:rPr>
      </w:pPr>
    </w:p>
    <w:p w14:paraId="21A64E5D">
      <w:pPr>
        <w:pStyle w:val="55"/>
        <w:widowControl w:val="0"/>
        <w:autoSpaceDE w:val="0"/>
        <w:autoSpaceDN w:val="0"/>
        <w:adjustRightInd w:val="0"/>
        <w:spacing w:before="0" w:after="0" w:line="312" w:lineRule="auto"/>
        <w:ind w:firstLine="1688"/>
        <w:rPr>
          <w:rFonts w:ascii="宋体" w:hAnsi="宋体" w:eastAsia="宋体"/>
          <w:b/>
          <w:sz w:val="84"/>
          <w:szCs w:val="84"/>
          <w:lang w:eastAsia="zh-CN"/>
        </w:rPr>
      </w:pPr>
      <w:r>
        <w:rPr>
          <w:rFonts w:hint="eastAsia" w:ascii="宋体" w:hAnsi="宋体" w:eastAsia="宋体" w:cs="MUDAHR+ºÚÌå"/>
          <w:b/>
          <w:spacing w:val="2"/>
          <w:sz w:val="84"/>
          <w:szCs w:val="84"/>
          <w:lang w:eastAsia="zh-CN"/>
        </w:rPr>
        <w:t>竞争性磋商文件</w:t>
      </w:r>
    </w:p>
    <w:p w14:paraId="5939FF41">
      <w:pPr>
        <w:spacing w:line="312" w:lineRule="auto"/>
        <w:rPr>
          <w:rFonts w:ascii="宋体" w:hAnsi="宋体" w:eastAsia="宋体"/>
        </w:rPr>
      </w:pPr>
    </w:p>
    <w:p w14:paraId="7C4BF99D">
      <w:pPr>
        <w:spacing w:line="312" w:lineRule="auto"/>
        <w:rPr>
          <w:rFonts w:ascii="宋体" w:hAnsi="宋体" w:eastAsia="宋体"/>
        </w:rPr>
      </w:pPr>
    </w:p>
    <w:p w14:paraId="7C3FADD7">
      <w:pPr>
        <w:spacing w:line="312" w:lineRule="auto"/>
        <w:rPr>
          <w:rFonts w:ascii="宋体" w:hAnsi="宋体" w:eastAsia="宋体"/>
        </w:rPr>
      </w:pPr>
    </w:p>
    <w:p w14:paraId="2F8CD054">
      <w:pPr>
        <w:spacing w:line="312" w:lineRule="auto"/>
        <w:rPr>
          <w:rFonts w:ascii="宋体" w:hAnsi="宋体" w:eastAsia="宋体"/>
        </w:rPr>
      </w:pPr>
    </w:p>
    <w:p w14:paraId="742FA703">
      <w:pPr>
        <w:spacing w:line="312" w:lineRule="auto"/>
        <w:rPr>
          <w:rFonts w:ascii="宋体" w:hAnsi="宋体" w:eastAsia="宋体"/>
        </w:rPr>
      </w:pPr>
    </w:p>
    <w:p w14:paraId="1AE087C4">
      <w:pPr>
        <w:spacing w:line="312" w:lineRule="auto"/>
        <w:rPr>
          <w:rFonts w:ascii="宋体" w:hAnsi="宋体" w:eastAsia="宋体"/>
        </w:rPr>
      </w:pPr>
    </w:p>
    <w:p w14:paraId="0D57C302">
      <w:pPr>
        <w:spacing w:line="312" w:lineRule="auto"/>
        <w:rPr>
          <w:rFonts w:ascii="宋体" w:hAnsi="宋体" w:eastAsia="宋体"/>
        </w:rPr>
      </w:pPr>
    </w:p>
    <w:p w14:paraId="033C7635">
      <w:pPr>
        <w:spacing w:line="312" w:lineRule="auto"/>
        <w:rPr>
          <w:rFonts w:ascii="宋体" w:hAnsi="宋体" w:eastAsia="宋体"/>
        </w:rPr>
      </w:pPr>
    </w:p>
    <w:p w14:paraId="115AC1C8">
      <w:pPr>
        <w:spacing w:line="312" w:lineRule="auto"/>
        <w:rPr>
          <w:rFonts w:ascii="宋体" w:hAnsi="宋体" w:eastAsia="宋体"/>
        </w:rPr>
      </w:pPr>
    </w:p>
    <w:p w14:paraId="726F4A6D">
      <w:pPr>
        <w:pStyle w:val="52"/>
      </w:pPr>
    </w:p>
    <w:p w14:paraId="22691FB2">
      <w:pPr>
        <w:spacing w:line="800" w:lineRule="exact"/>
        <w:rPr>
          <w:rFonts w:hint="eastAsia" w:ascii="宋体" w:hAnsi="宋体" w:eastAsia="宋体"/>
          <w:b/>
          <w:bCs/>
          <w:sz w:val="25"/>
          <w:szCs w:val="25"/>
          <w:lang w:eastAsia="zh-CN"/>
        </w:rPr>
      </w:pPr>
      <w:r>
        <w:rPr>
          <w:rFonts w:hint="eastAsia" w:ascii="宋体" w:hAnsi="宋体" w:eastAsia="宋体"/>
          <w:b/>
          <w:bCs/>
          <w:sz w:val="25"/>
          <w:szCs w:val="25"/>
        </w:rPr>
        <w:t>项目编号：</w:t>
      </w:r>
      <w:r>
        <w:rPr>
          <w:rFonts w:hint="eastAsia" w:ascii="宋体" w:hAnsi="宋体" w:eastAsia="宋体"/>
          <w:b/>
          <w:bCs/>
          <w:sz w:val="25"/>
          <w:szCs w:val="25"/>
          <w:lang w:eastAsia="zh-CN"/>
        </w:rPr>
        <w:t>GDCF-YN-CG-20250802</w:t>
      </w:r>
    </w:p>
    <w:p w14:paraId="3496B446">
      <w:pPr>
        <w:spacing w:line="240" w:lineRule="auto"/>
        <w:ind w:left="1200" w:hanging="1255" w:hangingChars="500"/>
        <w:rPr>
          <w:rFonts w:hint="eastAsia" w:ascii="宋体" w:hAnsi="宋体" w:eastAsia="宋体"/>
          <w:b/>
          <w:bCs/>
          <w:sz w:val="25"/>
          <w:szCs w:val="25"/>
          <w:lang w:eastAsia="zh-CN"/>
        </w:rPr>
      </w:pPr>
      <w:r>
        <w:rPr>
          <w:rFonts w:hint="eastAsia" w:ascii="宋体" w:hAnsi="宋体" w:eastAsia="宋体"/>
          <w:b/>
          <w:bCs/>
          <w:sz w:val="25"/>
          <w:szCs w:val="25"/>
        </w:rPr>
        <w:t>项目名称：</w:t>
      </w:r>
      <w:r>
        <w:rPr>
          <w:rFonts w:hint="eastAsia" w:ascii="宋体" w:hAnsi="宋体" w:eastAsia="宋体"/>
          <w:b/>
          <w:bCs/>
          <w:sz w:val="25"/>
          <w:szCs w:val="25"/>
          <w:u w:val="none"/>
          <w:lang w:eastAsia="zh-CN"/>
        </w:rPr>
        <w:t>郁南县桂圩镇初级中学2025-2026学年食堂食品采购项目</w:t>
      </w:r>
    </w:p>
    <w:p w14:paraId="083A9141">
      <w:pPr>
        <w:spacing w:line="800" w:lineRule="exact"/>
        <w:rPr>
          <w:rFonts w:hint="eastAsia" w:ascii="宋体" w:hAnsi="宋体" w:eastAsia="宋体"/>
          <w:b/>
          <w:bCs/>
          <w:sz w:val="25"/>
          <w:szCs w:val="25"/>
          <w:lang w:eastAsia="zh-CN"/>
        </w:rPr>
      </w:pPr>
      <w:r>
        <w:rPr>
          <w:rFonts w:hint="eastAsia" w:ascii="宋体" w:hAnsi="宋体" w:eastAsia="宋体"/>
          <w:b/>
          <w:bCs/>
          <w:sz w:val="25"/>
          <w:szCs w:val="25"/>
        </w:rPr>
        <w:t>采 购 人：</w:t>
      </w:r>
      <w:r>
        <w:rPr>
          <w:rFonts w:hint="eastAsia" w:ascii="宋体" w:hAnsi="宋体" w:eastAsia="宋体"/>
          <w:b/>
          <w:bCs/>
          <w:sz w:val="25"/>
          <w:szCs w:val="25"/>
          <w:lang w:eastAsia="zh-CN"/>
        </w:rPr>
        <w:t>郁南县桂圩镇初级中学</w:t>
      </w:r>
    </w:p>
    <w:p w14:paraId="720FCD9C">
      <w:pPr>
        <w:spacing w:line="800" w:lineRule="exact"/>
        <w:rPr>
          <w:rFonts w:ascii="宋体" w:hAnsi="宋体" w:eastAsia="宋体"/>
          <w:b/>
          <w:bCs/>
          <w:sz w:val="25"/>
          <w:szCs w:val="25"/>
        </w:rPr>
      </w:pPr>
      <w:r>
        <w:rPr>
          <w:rFonts w:hint="eastAsia" w:ascii="宋体" w:hAnsi="宋体" w:eastAsia="宋体"/>
          <w:b/>
          <w:bCs/>
          <w:sz w:val="25"/>
          <w:szCs w:val="25"/>
        </w:rPr>
        <w:t>采购代理机构：广东创富工程管理有限公司</w:t>
      </w:r>
    </w:p>
    <w:p w14:paraId="4110D113">
      <w:pPr>
        <w:spacing w:line="800" w:lineRule="exact"/>
        <w:jc w:val="center"/>
        <w:rPr>
          <w:rFonts w:ascii="宋体" w:hAnsi="宋体" w:eastAsia="宋体"/>
          <w:b/>
          <w:bCs/>
          <w:sz w:val="25"/>
          <w:szCs w:val="25"/>
        </w:rPr>
      </w:pPr>
      <w:r>
        <w:rPr>
          <w:rFonts w:hint="eastAsia" w:ascii="宋体" w:hAnsi="宋体" w:eastAsia="宋体"/>
          <w:b/>
          <w:bCs/>
          <w:sz w:val="25"/>
          <w:szCs w:val="25"/>
        </w:rPr>
        <w:t>二O二五年</w:t>
      </w:r>
      <w:r>
        <w:rPr>
          <w:rFonts w:hint="eastAsia" w:ascii="宋体" w:hAnsi="宋体" w:eastAsia="宋体"/>
          <w:b/>
          <w:bCs/>
          <w:sz w:val="25"/>
          <w:szCs w:val="25"/>
          <w:lang w:eastAsia="zh-CN"/>
        </w:rPr>
        <w:t>八</w:t>
      </w:r>
      <w:r>
        <w:rPr>
          <w:rFonts w:hint="eastAsia" w:ascii="宋体" w:hAnsi="宋体" w:eastAsia="宋体"/>
          <w:b/>
          <w:bCs/>
          <w:sz w:val="25"/>
          <w:szCs w:val="25"/>
        </w:rPr>
        <w:t>月</w:t>
      </w:r>
    </w:p>
    <w:sdt>
      <w:sdtPr>
        <w:rPr>
          <w:rFonts w:ascii="宋体" w:hAnsi="宋体" w:eastAsia="宋体" w:cs="Times New Roman"/>
          <w:b w:val="0"/>
          <w:bCs w:val="0"/>
          <w:color w:val="auto"/>
          <w:kern w:val="2"/>
          <w:sz w:val="21"/>
          <w:szCs w:val="24"/>
          <w:lang w:val="zh-CN" w:eastAsia="en-US"/>
        </w:rPr>
        <w:id w:val="990754177"/>
        <w:docPartObj>
          <w:docPartGallery w:val="Table of Contents"/>
          <w:docPartUnique/>
        </w:docPartObj>
      </w:sdtPr>
      <w:sdtEndPr>
        <w:rPr>
          <w:rFonts w:ascii="宋体" w:hAnsi="宋体" w:eastAsia="宋体" w:cstheme="minorBidi"/>
          <w:b w:val="0"/>
          <w:bCs w:val="0"/>
          <w:color w:val="auto"/>
          <w:kern w:val="2"/>
          <w:sz w:val="21"/>
          <w:szCs w:val="22"/>
          <w:lang w:val="zh-CN" w:eastAsia="zh-CN"/>
        </w:rPr>
      </w:sdtEndPr>
      <w:sdtContent>
        <w:p w14:paraId="29E56E23">
          <w:pPr>
            <w:pStyle w:val="387"/>
            <w:jc w:val="center"/>
            <w:rPr>
              <w:rFonts w:ascii="宋体" w:hAnsi="宋体" w:eastAsia="宋体"/>
              <w:color w:val="000000" w:themeColor="text1"/>
              <w:sz w:val="40"/>
              <w14:textFill>
                <w14:solidFill>
                  <w14:schemeClr w14:val="tx1"/>
                </w14:solidFill>
              </w14:textFill>
            </w:rPr>
          </w:pPr>
          <w:r>
            <w:rPr>
              <w:rFonts w:ascii="宋体" w:hAnsi="宋体" w:eastAsia="宋体"/>
              <w:color w:val="000000" w:themeColor="text1"/>
              <w:sz w:val="40"/>
              <w:lang w:val="zh-CN"/>
              <w14:textFill>
                <w14:solidFill>
                  <w14:schemeClr w14:val="tx1"/>
                </w14:solidFill>
              </w14:textFill>
            </w:rPr>
            <w:t>目</w:t>
          </w:r>
          <w:r>
            <w:rPr>
              <w:rFonts w:hint="eastAsia" w:ascii="宋体" w:hAnsi="宋体" w:eastAsia="宋体"/>
              <w:color w:val="000000" w:themeColor="text1"/>
              <w:sz w:val="40"/>
              <w:lang w:val="zh-CN"/>
              <w14:textFill>
                <w14:solidFill>
                  <w14:schemeClr w14:val="tx1"/>
                </w14:solidFill>
              </w14:textFill>
            </w:rPr>
            <w:t xml:space="preserve">  </w:t>
          </w:r>
          <w:r>
            <w:rPr>
              <w:rFonts w:ascii="宋体" w:hAnsi="宋体" w:eastAsia="宋体"/>
              <w:color w:val="000000" w:themeColor="text1"/>
              <w:sz w:val="40"/>
              <w:lang w:val="zh-CN"/>
              <w14:textFill>
                <w14:solidFill>
                  <w14:schemeClr w14:val="tx1"/>
                </w14:solidFill>
              </w14:textFill>
            </w:rPr>
            <w:t>录</w:t>
          </w:r>
        </w:p>
        <w:p w14:paraId="76A55BCA">
          <w:pPr>
            <w:pStyle w:val="27"/>
            <w:tabs>
              <w:tab w:val="right" w:leader="dot" w:pos="9487"/>
            </w:tabs>
            <w:rPr>
              <w:rFonts w:ascii="宋体" w:hAnsi="宋体" w:cstheme="minorBidi"/>
              <w:b w:val="0"/>
              <w:bCs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"_Toc152927340" </w:instrText>
          </w:r>
          <w:r>
            <w:fldChar w:fldCharType="separate"/>
          </w:r>
          <w:r>
            <w:rPr>
              <w:rStyle w:val="49"/>
              <w:rFonts w:hint="eastAsia" w:ascii="宋体" w:hAnsi="宋体"/>
            </w:rPr>
            <w:t>第一章</w:t>
          </w:r>
          <w:r>
            <w:rPr>
              <w:rStyle w:val="49"/>
              <w:rFonts w:ascii="宋体" w:hAnsi="宋体"/>
            </w:rPr>
            <w:t xml:space="preserve"> </w:t>
          </w:r>
          <w:r>
            <w:rPr>
              <w:rStyle w:val="49"/>
              <w:rFonts w:hint="eastAsia" w:ascii="宋体" w:hAnsi="宋体"/>
            </w:rPr>
            <w:t>磋商邀请</w:t>
          </w:r>
          <w:r>
            <w:rPr>
              <w:rFonts w:ascii="宋体" w:hAnsi="宋体"/>
            </w:rPr>
            <w:tab/>
          </w:r>
          <w:r>
            <w:rPr>
              <w:rFonts w:ascii="宋体" w:hAnsi="宋体"/>
            </w:rPr>
            <w:fldChar w:fldCharType="begin"/>
          </w:r>
          <w:r>
            <w:rPr>
              <w:rFonts w:ascii="宋体" w:hAnsi="宋体"/>
            </w:rPr>
            <w:instrText xml:space="preserve"> PAGEREF _Toc152927340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14:paraId="7E6E05DA">
          <w:pPr>
            <w:pStyle w:val="27"/>
            <w:tabs>
              <w:tab w:val="right" w:leader="dot" w:pos="9487"/>
            </w:tabs>
            <w:rPr>
              <w:rFonts w:ascii="宋体" w:hAnsi="宋体" w:cstheme="minorBidi"/>
              <w:b w:val="0"/>
              <w:bCs w:val="0"/>
              <w:caps w:val="0"/>
              <w:sz w:val="21"/>
              <w:szCs w:val="22"/>
            </w:rPr>
          </w:pPr>
          <w:r>
            <w:fldChar w:fldCharType="begin"/>
          </w:r>
          <w:r>
            <w:instrText xml:space="preserve"> HYPERLINK \l "_Toc152927341" </w:instrText>
          </w:r>
          <w:r>
            <w:fldChar w:fldCharType="separate"/>
          </w:r>
          <w:r>
            <w:rPr>
              <w:rStyle w:val="49"/>
              <w:rFonts w:hint="eastAsia" w:ascii="宋体" w:hAnsi="宋体"/>
            </w:rPr>
            <w:t>第二章</w:t>
          </w:r>
          <w:r>
            <w:rPr>
              <w:rStyle w:val="49"/>
              <w:rFonts w:ascii="宋体" w:hAnsi="宋体"/>
            </w:rPr>
            <w:t xml:space="preserve"> </w:t>
          </w:r>
          <w:r>
            <w:rPr>
              <w:rStyle w:val="49"/>
              <w:rFonts w:hint="eastAsia" w:ascii="宋体" w:hAnsi="宋体"/>
            </w:rPr>
            <w:t>磋商资料表</w:t>
          </w:r>
          <w:r>
            <w:rPr>
              <w:rFonts w:ascii="宋体" w:hAnsi="宋体"/>
            </w:rPr>
            <w:tab/>
          </w:r>
          <w:r>
            <w:rPr>
              <w:rFonts w:ascii="宋体" w:hAnsi="宋体"/>
            </w:rPr>
            <w:fldChar w:fldCharType="begin"/>
          </w:r>
          <w:r>
            <w:rPr>
              <w:rFonts w:ascii="宋体" w:hAnsi="宋体"/>
            </w:rPr>
            <w:instrText xml:space="preserve"> PAGEREF _Toc152927341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16C1C722">
          <w:pPr>
            <w:pStyle w:val="27"/>
            <w:tabs>
              <w:tab w:val="right" w:leader="dot" w:pos="9487"/>
            </w:tabs>
            <w:spacing w:line="720" w:lineRule="auto"/>
            <w:rPr>
              <w:rFonts w:ascii="宋体" w:hAnsi="宋体" w:cstheme="minorBidi"/>
              <w:b w:val="0"/>
              <w:bCs w:val="0"/>
              <w:caps w:val="0"/>
              <w:sz w:val="21"/>
              <w:szCs w:val="22"/>
            </w:rPr>
          </w:pPr>
          <w:r>
            <w:fldChar w:fldCharType="begin"/>
          </w:r>
          <w:r>
            <w:instrText xml:space="preserve"> HYPERLINK \l "_Toc152927342" </w:instrText>
          </w:r>
          <w:r>
            <w:fldChar w:fldCharType="separate"/>
          </w:r>
          <w:r>
            <w:rPr>
              <w:rStyle w:val="49"/>
              <w:rFonts w:hint="eastAsia" w:ascii="宋体" w:hAnsi="宋体"/>
            </w:rPr>
            <w:t>第三章</w:t>
          </w:r>
          <w:r>
            <w:rPr>
              <w:rStyle w:val="49"/>
              <w:rFonts w:ascii="宋体" w:hAnsi="宋体"/>
            </w:rPr>
            <w:t xml:space="preserve"> </w:t>
          </w:r>
          <w:r>
            <w:rPr>
              <w:rStyle w:val="49"/>
              <w:rFonts w:hint="eastAsia" w:ascii="宋体" w:hAnsi="宋体"/>
            </w:rPr>
            <w:t>用户需求书</w:t>
          </w:r>
          <w:r>
            <w:rPr>
              <w:rFonts w:ascii="宋体" w:hAnsi="宋体"/>
            </w:rPr>
            <w:tab/>
          </w:r>
          <w:r>
            <w:rPr>
              <w:rFonts w:ascii="宋体" w:hAnsi="宋体"/>
            </w:rPr>
            <w:fldChar w:fldCharType="begin"/>
          </w:r>
          <w:r>
            <w:rPr>
              <w:rFonts w:ascii="宋体" w:hAnsi="宋体"/>
            </w:rPr>
            <w:instrText xml:space="preserve"> PAGEREF _Toc152927342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14:paraId="570A0065">
          <w:pPr>
            <w:pStyle w:val="27"/>
            <w:tabs>
              <w:tab w:val="right" w:leader="dot" w:pos="9487"/>
            </w:tabs>
            <w:rPr>
              <w:rFonts w:ascii="宋体" w:hAnsi="宋体" w:cstheme="minorBidi"/>
              <w:b w:val="0"/>
              <w:bCs w:val="0"/>
              <w:caps w:val="0"/>
              <w:sz w:val="21"/>
              <w:szCs w:val="22"/>
            </w:rPr>
          </w:pPr>
          <w:r>
            <w:fldChar w:fldCharType="begin"/>
          </w:r>
          <w:r>
            <w:instrText xml:space="preserve"> HYPERLINK \l "_Toc152927343" </w:instrText>
          </w:r>
          <w:r>
            <w:fldChar w:fldCharType="separate"/>
          </w:r>
          <w:r>
            <w:rPr>
              <w:rStyle w:val="49"/>
              <w:rFonts w:hint="eastAsia" w:ascii="宋体" w:hAnsi="宋体"/>
            </w:rPr>
            <w:t>第五章</w:t>
          </w:r>
          <w:r>
            <w:rPr>
              <w:rStyle w:val="49"/>
              <w:rFonts w:ascii="宋体" w:hAnsi="宋体"/>
            </w:rPr>
            <w:t xml:space="preserve">  </w:t>
          </w:r>
          <w:r>
            <w:rPr>
              <w:rStyle w:val="49"/>
              <w:rFonts w:hint="eastAsia" w:ascii="宋体" w:hAnsi="宋体"/>
            </w:rPr>
            <w:t>合同格式条款</w:t>
          </w:r>
          <w:r>
            <w:rPr>
              <w:rFonts w:ascii="宋体" w:hAnsi="宋体"/>
            </w:rPr>
            <w:tab/>
          </w:r>
          <w:r>
            <w:rPr>
              <w:rFonts w:ascii="宋体" w:hAnsi="宋体"/>
            </w:rPr>
            <w:fldChar w:fldCharType="begin"/>
          </w:r>
          <w:r>
            <w:rPr>
              <w:rFonts w:ascii="宋体" w:hAnsi="宋体"/>
            </w:rPr>
            <w:instrText xml:space="preserve"> PAGEREF _Toc152927343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5BA2D5FA">
          <w:pPr>
            <w:pStyle w:val="27"/>
            <w:tabs>
              <w:tab w:val="right" w:leader="dot" w:pos="9487"/>
            </w:tabs>
            <w:rPr>
              <w:rFonts w:ascii="宋体" w:hAnsi="宋体" w:cstheme="minorBidi"/>
              <w:b w:val="0"/>
              <w:bCs w:val="0"/>
              <w:caps w:val="0"/>
              <w:sz w:val="21"/>
              <w:szCs w:val="22"/>
            </w:rPr>
          </w:pPr>
          <w:r>
            <w:fldChar w:fldCharType="begin"/>
          </w:r>
          <w:r>
            <w:instrText xml:space="preserve"> HYPERLINK \l "_Toc152927348" </w:instrText>
          </w:r>
          <w:r>
            <w:fldChar w:fldCharType="separate"/>
          </w:r>
          <w:r>
            <w:rPr>
              <w:rStyle w:val="49"/>
              <w:rFonts w:hint="eastAsia" w:ascii="宋体" w:hAnsi="宋体"/>
            </w:rPr>
            <w:t>第六章</w:t>
          </w:r>
          <w:r>
            <w:rPr>
              <w:rStyle w:val="49"/>
              <w:rFonts w:ascii="宋体" w:hAnsi="宋体"/>
            </w:rPr>
            <w:t xml:space="preserve"> </w:t>
          </w:r>
          <w:r>
            <w:rPr>
              <w:rStyle w:val="49"/>
              <w:rFonts w:hint="eastAsia" w:ascii="宋体" w:hAnsi="宋体"/>
            </w:rPr>
            <w:t>响应文件格式</w:t>
          </w:r>
          <w:r>
            <w:rPr>
              <w:rFonts w:ascii="宋体" w:hAnsi="宋体"/>
            </w:rPr>
            <w:tab/>
          </w:r>
          <w:r>
            <w:rPr>
              <w:rFonts w:ascii="宋体" w:hAnsi="宋体"/>
            </w:rPr>
            <w:fldChar w:fldCharType="begin"/>
          </w:r>
          <w:r>
            <w:rPr>
              <w:rFonts w:ascii="宋体" w:hAnsi="宋体"/>
            </w:rPr>
            <w:instrText xml:space="preserve"> PAGEREF _Toc152927348 \h </w:instrText>
          </w:r>
          <w:r>
            <w:rPr>
              <w:rFonts w:ascii="宋体" w:hAnsi="宋体"/>
            </w:rPr>
            <w:fldChar w:fldCharType="separate"/>
          </w:r>
          <w:r>
            <w:rPr>
              <w:rFonts w:ascii="宋体" w:hAnsi="宋体"/>
            </w:rPr>
            <w:t>35</w:t>
          </w:r>
          <w:r>
            <w:rPr>
              <w:rFonts w:ascii="宋体" w:hAnsi="宋体"/>
            </w:rPr>
            <w:fldChar w:fldCharType="end"/>
          </w:r>
          <w:r>
            <w:rPr>
              <w:rFonts w:ascii="宋体" w:hAnsi="宋体"/>
            </w:rPr>
            <w:fldChar w:fldCharType="end"/>
          </w:r>
        </w:p>
        <w:p w14:paraId="6CBCB6AC">
          <w:pPr>
            <w:pStyle w:val="27"/>
            <w:tabs>
              <w:tab w:val="right" w:leader="dot" w:pos="9487"/>
            </w:tabs>
            <w:rPr>
              <w:rFonts w:ascii="宋体" w:hAnsi="宋体" w:cstheme="minorBidi"/>
              <w:b w:val="0"/>
              <w:bCs w:val="0"/>
              <w:caps w:val="0"/>
              <w:sz w:val="21"/>
              <w:szCs w:val="22"/>
            </w:rPr>
          </w:pPr>
          <w:r>
            <w:fldChar w:fldCharType="begin"/>
          </w:r>
          <w:r>
            <w:instrText xml:space="preserve"> HYPERLINK \l "_Toc152927349" </w:instrText>
          </w:r>
          <w:r>
            <w:fldChar w:fldCharType="separate"/>
          </w:r>
          <w:r>
            <w:rPr>
              <w:rStyle w:val="49"/>
              <w:rFonts w:hint="eastAsia" w:ascii="宋体" w:hAnsi="宋体"/>
            </w:rPr>
            <w:t>第七章</w:t>
          </w:r>
          <w:r>
            <w:rPr>
              <w:rStyle w:val="49"/>
              <w:rFonts w:ascii="宋体" w:hAnsi="宋体"/>
            </w:rPr>
            <w:t xml:space="preserve"> </w:t>
          </w:r>
          <w:r>
            <w:rPr>
              <w:rStyle w:val="49"/>
              <w:rFonts w:hint="eastAsia" w:ascii="宋体" w:hAnsi="宋体"/>
            </w:rPr>
            <w:t>磋</w:t>
          </w:r>
          <w:r>
            <w:rPr>
              <w:rStyle w:val="49"/>
              <w:rFonts w:ascii="宋体" w:hAnsi="宋体"/>
            </w:rPr>
            <w:t xml:space="preserve"> </w:t>
          </w:r>
          <w:r>
            <w:rPr>
              <w:rStyle w:val="49"/>
              <w:rFonts w:hint="eastAsia" w:ascii="宋体" w:hAnsi="宋体"/>
            </w:rPr>
            <w:t>商</w:t>
          </w:r>
          <w:r>
            <w:rPr>
              <w:rStyle w:val="49"/>
              <w:rFonts w:ascii="宋体" w:hAnsi="宋体"/>
            </w:rPr>
            <w:t xml:space="preserve"> </w:t>
          </w:r>
          <w:r>
            <w:rPr>
              <w:rStyle w:val="49"/>
              <w:rFonts w:hint="eastAsia" w:ascii="宋体" w:hAnsi="宋体"/>
            </w:rPr>
            <w:t>须</w:t>
          </w:r>
          <w:r>
            <w:rPr>
              <w:rStyle w:val="49"/>
              <w:rFonts w:ascii="宋体" w:hAnsi="宋体"/>
            </w:rPr>
            <w:t xml:space="preserve"> </w:t>
          </w:r>
          <w:r>
            <w:rPr>
              <w:rStyle w:val="49"/>
              <w:rFonts w:hint="eastAsia" w:ascii="宋体" w:hAnsi="宋体"/>
            </w:rPr>
            <w:t>知</w:t>
          </w:r>
          <w:r>
            <w:rPr>
              <w:rFonts w:ascii="宋体" w:hAnsi="宋体"/>
            </w:rPr>
            <w:tab/>
          </w:r>
          <w:r>
            <w:rPr>
              <w:rFonts w:ascii="宋体" w:hAnsi="宋体"/>
            </w:rPr>
            <w:fldChar w:fldCharType="begin"/>
          </w:r>
          <w:r>
            <w:rPr>
              <w:rFonts w:ascii="宋体" w:hAnsi="宋体"/>
            </w:rPr>
            <w:instrText xml:space="preserve"> PAGEREF _Toc152927349 \h </w:instrText>
          </w:r>
          <w:r>
            <w:rPr>
              <w:rFonts w:ascii="宋体" w:hAnsi="宋体"/>
            </w:rPr>
            <w:fldChar w:fldCharType="separate"/>
          </w:r>
          <w:r>
            <w:rPr>
              <w:rFonts w:ascii="宋体" w:hAnsi="宋体"/>
            </w:rPr>
            <w:t>50</w:t>
          </w:r>
          <w:r>
            <w:rPr>
              <w:rFonts w:ascii="宋体" w:hAnsi="宋体"/>
            </w:rPr>
            <w:fldChar w:fldCharType="end"/>
          </w:r>
          <w:r>
            <w:rPr>
              <w:rFonts w:ascii="宋体" w:hAnsi="宋体"/>
            </w:rPr>
            <w:fldChar w:fldCharType="end"/>
          </w:r>
        </w:p>
        <w:p w14:paraId="65C85016">
          <w:pPr>
            <w:pStyle w:val="33"/>
            <w:tabs>
              <w:tab w:val="right" w:leader="dot" w:pos="9487"/>
            </w:tabs>
            <w:rPr>
              <w:rFonts w:ascii="宋体" w:hAnsi="宋体" w:cstheme="minorBidi"/>
              <w:smallCaps w:val="0"/>
              <w:sz w:val="21"/>
              <w:szCs w:val="22"/>
            </w:rPr>
          </w:pPr>
          <w:r>
            <w:fldChar w:fldCharType="begin"/>
          </w:r>
          <w:r>
            <w:instrText xml:space="preserve"> HYPERLINK \l "_Toc152927350" </w:instrText>
          </w:r>
          <w:r>
            <w:fldChar w:fldCharType="separate"/>
          </w:r>
          <w:r>
            <w:rPr>
              <w:rStyle w:val="49"/>
              <w:rFonts w:hint="eastAsia" w:ascii="宋体" w:hAnsi="宋体"/>
            </w:rPr>
            <w:t>一、说</w:t>
          </w:r>
          <w:r>
            <w:rPr>
              <w:rStyle w:val="49"/>
              <w:rFonts w:ascii="宋体" w:hAnsi="宋体"/>
            </w:rPr>
            <w:t xml:space="preserve"> </w:t>
          </w:r>
          <w:r>
            <w:rPr>
              <w:rStyle w:val="49"/>
              <w:rFonts w:hint="eastAsia" w:ascii="宋体" w:hAnsi="宋体"/>
            </w:rPr>
            <w:t>明</w:t>
          </w:r>
          <w:r>
            <w:rPr>
              <w:rFonts w:ascii="宋体" w:hAnsi="宋体"/>
            </w:rPr>
            <w:tab/>
          </w:r>
          <w:r>
            <w:rPr>
              <w:rFonts w:ascii="宋体" w:hAnsi="宋体"/>
            </w:rPr>
            <w:fldChar w:fldCharType="begin"/>
          </w:r>
          <w:r>
            <w:rPr>
              <w:rFonts w:ascii="宋体" w:hAnsi="宋体"/>
            </w:rPr>
            <w:instrText xml:space="preserve"> PAGEREF _Toc152927350 \h </w:instrText>
          </w:r>
          <w:r>
            <w:rPr>
              <w:rFonts w:ascii="宋体" w:hAnsi="宋体"/>
            </w:rPr>
            <w:fldChar w:fldCharType="separate"/>
          </w:r>
          <w:r>
            <w:rPr>
              <w:rFonts w:ascii="宋体" w:hAnsi="宋体"/>
            </w:rPr>
            <w:t>50</w:t>
          </w:r>
          <w:r>
            <w:rPr>
              <w:rFonts w:ascii="宋体" w:hAnsi="宋体"/>
            </w:rPr>
            <w:fldChar w:fldCharType="end"/>
          </w:r>
          <w:r>
            <w:rPr>
              <w:rFonts w:ascii="宋体" w:hAnsi="宋体"/>
            </w:rPr>
            <w:fldChar w:fldCharType="end"/>
          </w:r>
        </w:p>
        <w:p w14:paraId="6D782108">
          <w:pPr>
            <w:pStyle w:val="33"/>
            <w:tabs>
              <w:tab w:val="right" w:leader="dot" w:pos="9487"/>
            </w:tabs>
            <w:rPr>
              <w:rFonts w:ascii="宋体" w:hAnsi="宋体" w:cstheme="minorBidi"/>
              <w:smallCaps w:val="0"/>
              <w:sz w:val="21"/>
              <w:szCs w:val="22"/>
            </w:rPr>
          </w:pPr>
          <w:r>
            <w:fldChar w:fldCharType="begin"/>
          </w:r>
          <w:r>
            <w:instrText xml:space="preserve"> HYPERLINK \l "_Toc152927351" </w:instrText>
          </w:r>
          <w:r>
            <w:fldChar w:fldCharType="separate"/>
          </w:r>
          <w:r>
            <w:rPr>
              <w:rStyle w:val="49"/>
              <w:rFonts w:hint="eastAsia" w:ascii="宋体" w:hAnsi="宋体"/>
            </w:rPr>
            <w:t>二、竞争性磋商文件</w:t>
          </w:r>
          <w:r>
            <w:rPr>
              <w:rFonts w:ascii="宋体" w:hAnsi="宋体"/>
            </w:rPr>
            <w:tab/>
          </w:r>
          <w:r>
            <w:rPr>
              <w:rFonts w:ascii="宋体" w:hAnsi="宋体"/>
            </w:rPr>
            <w:fldChar w:fldCharType="begin"/>
          </w:r>
          <w:r>
            <w:rPr>
              <w:rFonts w:ascii="宋体" w:hAnsi="宋体"/>
            </w:rPr>
            <w:instrText xml:space="preserve"> PAGEREF _Toc152927351 \h </w:instrText>
          </w:r>
          <w:r>
            <w:rPr>
              <w:rFonts w:ascii="宋体" w:hAnsi="宋体"/>
            </w:rPr>
            <w:fldChar w:fldCharType="separate"/>
          </w:r>
          <w:r>
            <w:rPr>
              <w:rFonts w:ascii="宋体" w:hAnsi="宋体"/>
            </w:rPr>
            <w:t>51</w:t>
          </w:r>
          <w:r>
            <w:rPr>
              <w:rFonts w:ascii="宋体" w:hAnsi="宋体"/>
            </w:rPr>
            <w:fldChar w:fldCharType="end"/>
          </w:r>
          <w:r>
            <w:rPr>
              <w:rFonts w:ascii="宋体" w:hAnsi="宋体"/>
            </w:rPr>
            <w:fldChar w:fldCharType="end"/>
          </w:r>
        </w:p>
        <w:p w14:paraId="79D1EBC9">
          <w:pPr>
            <w:pStyle w:val="33"/>
            <w:tabs>
              <w:tab w:val="right" w:leader="dot" w:pos="9487"/>
            </w:tabs>
            <w:rPr>
              <w:rFonts w:ascii="宋体" w:hAnsi="宋体" w:cstheme="minorBidi"/>
              <w:smallCaps w:val="0"/>
              <w:sz w:val="21"/>
              <w:szCs w:val="22"/>
            </w:rPr>
          </w:pPr>
          <w:r>
            <w:fldChar w:fldCharType="begin"/>
          </w:r>
          <w:r>
            <w:instrText xml:space="preserve"> HYPERLINK \l "_Toc152927352" </w:instrText>
          </w:r>
          <w:r>
            <w:fldChar w:fldCharType="separate"/>
          </w:r>
          <w:r>
            <w:rPr>
              <w:rStyle w:val="49"/>
              <w:rFonts w:hint="eastAsia" w:ascii="宋体" w:hAnsi="宋体"/>
            </w:rPr>
            <w:t>三、响应文件的编制</w:t>
          </w:r>
          <w:r>
            <w:rPr>
              <w:rFonts w:ascii="宋体" w:hAnsi="宋体"/>
            </w:rPr>
            <w:tab/>
          </w:r>
          <w:r>
            <w:rPr>
              <w:rFonts w:ascii="宋体" w:hAnsi="宋体"/>
            </w:rPr>
            <w:fldChar w:fldCharType="begin"/>
          </w:r>
          <w:r>
            <w:rPr>
              <w:rFonts w:ascii="宋体" w:hAnsi="宋体"/>
            </w:rPr>
            <w:instrText xml:space="preserve"> PAGEREF _Toc152927352 \h </w:instrText>
          </w:r>
          <w:r>
            <w:rPr>
              <w:rFonts w:ascii="宋体" w:hAnsi="宋体"/>
            </w:rPr>
            <w:fldChar w:fldCharType="separate"/>
          </w:r>
          <w:r>
            <w:rPr>
              <w:rFonts w:ascii="宋体" w:hAnsi="宋体"/>
            </w:rPr>
            <w:t>53</w:t>
          </w:r>
          <w:r>
            <w:rPr>
              <w:rFonts w:ascii="宋体" w:hAnsi="宋体"/>
            </w:rPr>
            <w:fldChar w:fldCharType="end"/>
          </w:r>
          <w:r>
            <w:rPr>
              <w:rFonts w:ascii="宋体" w:hAnsi="宋体"/>
            </w:rPr>
            <w:fldChar w:fldCharType="end"/>
          </w:r>
        </w:p>
        <w:p w14:paraId="4551C273">
          <w:pPr>
            <w:pStyle w:val="33"/>
            <w:tabs>
              <w:tab w:val="right" w:leader="dot" w:pos="9487"/>
            </w:tabs>
            <w:rPr>
              <w:rFonts w:ascii="宋体" w:hAnsi="宋体" w:cstheme="minorBidi"/>
              <w:smallCaps w:val="0"/>
              <w:sz w:val="21"/>
              <w:szCs w:val="22"/>
            </w:rPr>
          </w:pPr>
          <w:r>
            <w:fldChar w:fldCharType="begin"/>
          </w:r>
          <w:r>
            <w:instrText xml:space="preserve"> HYPERLINK \l "_Toc152927353" </w:instrText>
          </w:r>
          <w:r>
            <w:fldChar w:fldCharType="separate"/>
          </w:r>
          <w:r>
            <w:rPr>
              <w:rStyle w:val="49"/>
              <w:rFonts w:hint="eastAsia" w:ascii="宋体" w:hAnsi="宋体"/>
            </w:rPr>
            <w:t>四、响应文件的递交</w:t>
          </w:r>
          <w:r>
            <w:rPr>
              <w:rFonts w:ascii="宋体" w:hAnsi="宋体"/>
            </w:rPr>
            <w:tab/>
          </w:r>
          <w:r>
            <w:rPr>
              <w:rFonts w:ascii="宋体" w:hAnsi="宋体"/>
            </w:rPr>
            <w:fldChar w:fldCharType="begin"/>
          </w:r>
          <w:r>
            <w:rPr>
              <w:rFonts w:ascii="宋体" w:hAnsi="宋体"/>
            </w:rPr>
            <w:instrText xml:space="preserve"> PAGEREF _Toc152927353 \h </w:instrText>
          </w:r>
          <w:r>
            <w:rPr>
              <w:rFonts w:ascii="宋体" w:hAnsi="宋体"/>
            </w:rPr>
            <w:fldChar w:fldCharType="separate"/>
          </w:r>
          <w:r>
            <w:rPr>
              <w:rFonts w:ascii="宋体" w:hAnsi="宋体"/>
            </w:rPr>
            <w:t>56</w:t>
          </w:r>
          <w:r>
            <w:rPr>
              <w:rFonts w:ascii="宋体" w:hAnsi="宋体"/>
            </w:rPr>
            <w:fldChar w:fldCharType="end"/>
          </w:r>
          <w:r>
            <w:rPr>
              <w:rFonts w:ascii="宋体" w:hAnsi="宋体"/>
            </w:rPr>
            <w:fldChar w:fldCharType="end"/>
          </w:r>
        </w:p>
        <w:p w14:paraId="2799F337">
          <w:pPr>
            <w:pStyle w:val="33"/>
            <w:tabs>
              <w:tab w:val="right" w:leader="dot" w:pos="9487"/>
            </w:tabs>
            <w:rPr>
              <w:rFonts w:ascii="宋体" w:hAnsi="宋体" w:cstheme="minorBidi"/>
              <w:smallCaps w:val="0"/>
              <w:sz w:val="21"/>
              <w:szCs w:val="22"/>
            </w:rPr>
          </w:pPr>
          <w:r>
            <w:fldChar w:fldCharType="begin"/>
          </w:r>
          <w:r>
            <w:instrText xml:space="preserve"> HYPERLINK \l "_Toc152927354" </w:instrText>
          </w:r>
          <w:r>
            <w:fldChar w:fldCharType="separate"/>
          </w:r>
          <w:r>
            <w:rPr>
              <w:rStyle w:val="49"/>
              <w:rFonts w:hint="eastAsia" w:ascii="宋体" w:hAnsi="宋体"/>
            </w:rPr>
            <w:t>五、竞争性磋商流程</w:t>
          </w:r>
          <w:r>
            <w:rPr>
              <w:rFonts w:ascii="宋体" w:hAnsi="宋体"/>
            </w:rPr>
            <w:tab/>
          </w:r>
          <w:r>
            <w:rPr>
              <w:rFonts w:ascii="宋体" w:hAnsi="宋体"/>
            </w:rPr>
            <w:fldChar w:fldCharType="begin"/>
          </w:r>
          <w:r>
            <w:rPr>
              <w:rFonts w:ascii="宋体" w:hAnsi="宋体"/>
            </w:rPr>
            <w:instrText xml:space="preserve"> PAGEREF _Toc152927354 \h </w:instrText>
          </w:r>
          <w:r>
            <w:rPr>
              <w:rFonts w:ascii="宋体" w:hAnsi="宋体"/>
            </w:rPr>
            <w:fldChar w:fldCharType="separate"/>
          </w:r>
          <w:r>
            <w:rPr>
              <w:rFonts w:ascii="宋体" w:hAnsi="宋体"/>
            </w:rPr>
            <w:t>57</w:t>
          </w:r>
          <w:r>
            <w:rPr>
              <w:rFonts w:ascii="宋体" w:hAnsi="宋体"/>
            </w:rPr>
            <w:fldChar w:fldCharType="end"/>
          </w:r>
          <w:r>
            <w:rPr>
              <w:rFonts w:ascii="宋体" w:hAnsi="宋体"/>
            </w:rPr>
            <w:fldChar w:fldCharType="end"/>
          </w:r>
        </w:p>
        <w:p w14:paraId="622EF3AE">
          <w:pPr>
            <w:pStyle w:val="33"/>
            <w:tabs>
              <w:tab w:val="right" w:leader="dot" w:pos="9487"/>
            </w:tabs>
            <w:rPr>
              <w:rFonts w:ascii="宋体" w:hAnsi="宋体" w:cstheme="minorBidi"/>
              <w:smallCaps w:val="0"/>
              <w:sz w:val="21"/>
              <w:szCs w:val="22"/>
            </w:rPr>
          </w:pPr>
          <w:r>
            <w:fldChar w:fldCharType="begin"/>
          </w:r>
          <w:r>
            <w:instrText xml:space="preserve"> HYPERLINK \l "_Toc152927355" </w:instrText>
          </w:r>
          <w:r>
            <w:fldChar w:fldCharType="separate"/>
          </w:r>
          <w:r>
            <w:rPr>
              <w:rStyle w:val="49"/>
              <w:rFonts w:hint="eastAsia" w:ascii="宋体" w:hAnsi="宋体"/>
            </w:rPr>
            <w:t>六、授予合同</w:t>
          </w:r>
          <w:r>
            <w:rPr>
              <w:rFonts w:ascii="宋体" w:hAnsi="宋体"/>
            </w:rPr>
            <w:tab/>
          </w:r>
          <w:r>
            <w:rPr>
              <w:rFonts w:ascii="宋体" w:hAnsi="宋体"/>
            </w:rPr>
            <w:fldChar w:fldCharType="begin"/>
          </w:r>
          <w:r>
            <w:rPr>
              <w:rFonts w:ascii="宋体" w:hAnsi="宋体"/>
            </w:rPr>
            <w:instrText xml:space="preserve"> PAGEREF _Toc152927355 \h </w:instrText>
          </w:r>
          <w:r>
            <w:rPr>
              <w:rFonts w:ascii="宋体" w:hAnsi="宋体"/>
            </w:rPr>
            <w:fldChar w:fldCharType="separate"/>
          </w:r>
          <w:r>
            <w:rPr>
              <w:rFonts w:ascii="宋体" w:hAnsi="宋体"/>
            </w:rPr>
            <w:t>60</w:t>
          </w:r>
          <w:r>
            <w:rPr>
              <w:rFonts w:ascii="宋体" w:hAnsi="宋体"/>
            </w:rPr>
            <w:fldChar w:fldCharType="end"/>
          </w:r>
          <w:r>
            <w:rPr>
              <w:rFonts w:ascii="宋体" w:hAnsi="宋体"/>
            </w:rPr>
            <w:fldChar w:fldCharType="end"/>
          </w:r>
        </w:p>
        <w:p w14:paraId="28A35313">
          <w:pPr>
            <w:rPr>
              <w:rFonts w:ascii="宋体" w:hAnsi="宋体" w:eastAsia="宋体"/>
            </w:rPr>
          </w:pPr>
          <w:r>
            <w:rPr>
              <w:rFonts w:ascii="宋体" w:hAnsi="宋体" w:eastAsia="宋体"/>
              <w:b/>
              <w:bCs/>
              <w:lang w:val="zh-CN"/>
            </w:rPr>
            <w:fldChar w:fldCharType="end"/>
          </w:r>
        </w:p>
      </w:sdtContent>
    </w:sdt>
    <w:p w14:paraId="56AA9901">
      <w:pPr>
        <w:spacing w:line="312" w:lineRule="auto"/>
        <w:rPr>
          <w:rFonts w:ascii="宋体" w:hAnsi="宋体" w:eastAsia="宋体"/>
        </w:rPr>
      </w:pPr>
      <w:bookmarkStart w:id="21" w:name="_GoBack"/>
      <w:bookmarkEnd w:id="21"/>
    </w:p>
    <w:p w14:paraId="49A8AA43">
      <w:pPr>
        <w:spacing w:line="312" w:lineRule="auto"/>
        <w:rPr>
          <w:rFonts w:ascii="宋体" w:hAnsi="宋体" w:eastAsia="宋体"/>
        </w:rPr>
      </w:pPr>
    </w:p>
    <w:p w14:paraId="1E9BAA4D">
      <w:pPr>
        <w:spacing w:line="312" w:lineRule="auto"/>
        <w:rPr>
          <w:rFonts w:ascii="宋体" w:hAnsi="宋体" w:eastAsia="宋体"/>
        </w:rPr>
      </w:pPr>
    </w:p>
    <w:p w14:paraId="1847BD86">
      <w:pPr>
        <w:spacing w:line="312" w:lineRule="auto"/>
        <w:rPr>
          <w:rFonts w:ascii="宋体" w:hAnsi="宋体" w:eastAsia="宋体"/>
        </w:rPr>
      </w:pPr>
    </w:p>
    <w:p w14:paraId="4C75FF49">
      <w:pPr>
        <w:spacing w:line="312" w:lineRule="auto"/>
        <w:rPr>
          <w:rFonts w:ascii="宋体" w:hAnsi="宋体" w:eastAsia="宋体"/>
        </w:rPr>
      </w:pPr>
    </w:p>
    <w:p w14:paraId="54F59597">
      <w:pPr>
        <w:spacing w:line="312" w:lineRule="auto"/>
        <w:rPr>
          <w:rFonts w:ascii="宋体" w:hAnsi="宋体" w:eastAsia="宋体"/>
        </w:rPr>
      </w:pPr>
    </w:p>
    <w:p w14:paraId="1992C815">
      <w:pPr>
        <w:spacing w:line="312" w:lineRule="auto"/>
        <w:rPr>
          <w:rFonts w:ascii="宋体" w:hAnsi="宋体" w:eastAsia="宋体"/>
        </w:rPr>
      </w:pPr>
    </w:p>
    <w:p w14:paraId="422DFFD0">
      <w:pPr>
        <w:spacing w:line="312" w:lineRule="auto"/>
        <w:rPr>
          <w:rFonts w:ascii="宋体" w:hAnsi="宋体" w:eastAsia="宋体"/>
        </w:rPr>
      </w:pPr>
    </w:p>
    <w:p w14:paraId="15248BF4">
      <w:pPr>
        <w:spacing w:line="312" w:lineRule="auto"/>
        <w:rPr>
          <w:rFonts w:ascii="宋体" w:hAnsi="宋体" w:eastAsia="宋体"/>
        </w:rPr>
      </w:pPr>
    </w:p>
    <w:p w14:paraId="6630CAC6">
      <w:pPr>
        <w:spacing w:line="312" w:lineRule="auto"/>
        <w:rPr>
          <w:rFonts w:ascii="宋体" w:hAnsi="宋体" w:eastAsia="宋体"/>
        </w:rPr>
      </w:pPr>
    </w:p>
    <w:p w14:paraId="3B6AD468">
      <w:pPr>
        <w:spacing w:line="312" w:lineRule="auto"/>
        <w:rPr>
          <w:rFonts w:ascii="宋体" w:hAnsi="宋体" w:eastAsia="宋体"/>
        </w:rPr>
      </w:pPr>
    </w:p>
    <w:p w14:paraId="6CD361D6">
      <w:pPr>
        <w:spacing w:line="312" w:lineRule="auto"/>
        <w:rPr>
          <w:rFonts w:ascii="宋体" w:hAnsi="宋体" w:eastAsia="宋体"/>
        </w:rPr>
      </w:pPr>
    </w:p>
    <w:p w14:paraId="1EA8FC13">
      <w:pPr>
        <w:spacing w:line="312" w:lineRule="auto"/>
        <w:rPr>
          <w:rFonts w:ascii="宋体" w:hAnsi="宋体" w:eastAsia="宋体"/>
        </w:rPr>
      </w:pPr>
    </w:p>
    <w:p w14:paraId="652868D0">
      <w:pPr>
        <w:spacing w:line="312" w:lineRule="auto"/>
        <w:rPr>
          <w:rFonts w:ascii="宋体" w:hAnsi="宋体" w:eastAsia="宋体"/>
        </w:rPr>
      </w:pPr>
    </w:p>
    <w:p w14:paraId="0D4838AF">
      <w:pPr>
        <w:spacing w:line="312" w:lineRule="auto"/>
        <w:rPr>
          <w:rFonts w:ascii="宋体" w:hAnsi="宋体" w:eastAsia="宋体"/>
        </w:rPr>
      </w:pPr>
    </w:p>
    <w:p w14:paraId="3056258E">
      <w:pPr>
        <w:spacing w:line="312" w:lineRule="auto"/>
        <w:rPr>
          <w:rFonts w:ascii="宋体" w:hAnsi="宋体" w:eastAsia="宋体"/>
        </w:rPr>
      </w:pPr>
    </w:p>
    <w:p w14:paraId="795CAF09">
      <w:pPr>
        <w:spacing w:line="312" w:lineRule="auto"/>
        <w:rPr>
          <w:rFonts w:ascii="宋体" w:hAnsi="宋体" w:eastAsia="宋体"/>
        </w:rPr>
      </w:pPr>
    </w:p>
    <w:p w14:paraId="3D9DCE3D">
      <w:pPr>
        <w:spacing w:line="312" w:lineRule="auto"/>
        <w:rPr>
          <w:rFonts w:ascii="宋体" w:hAnsi="宋体" w:eastAsia="宋体"/>
        </w:rPr>
      </w:pPr>
    </w:p>
    <w:p w14:paraId="4CC7C08A">
      <w:pPr>
        <w:spacing w:line="312" w:lineRule="auto"/>
        <w:rPr>
          <w:rFonts w:ascii="宋体" w:hAnsi="宋体" w:eastAsia="宋体"/>
        </w:rPr>
      </w:pPr>
    </w:p>
    <w:p w14:paraId="57E239EA">
      <w:pPr>
        <w:pStyle w:val="2"/>
        <w:rPr>
          <w:rFonts w:ascii="宋体" w:hAnsi="宋体" w:eastAsia="宋体"/>
        </w:rPr>
      </w:pPr>
      <w:bookmarkStart w:id="0" w:name="_Toc152927340"/>
      <w:r>
        <w:rPr>
          <w:rFonts w:hint="eastAsia" w:ascii="宋体" w:hAnsi="宋体" w:eastAsia="宋体"/>
        </w:rPr>
        <w:t>第一章 磋商邀请</w:t>
      </w:r>
      <w:bookmarkEnd w:id="0"/>
    </w:p>
    <w:p w14:paraId="5158D0EB">
      <w:pPr>
        <w:spacing w:line="312" w:lineRule="auto"/>
        <w:ind w:firstLine="420" w:firstLineChars="200"/>
        <w:jc w:val="center"/>
        <w:rPr>
          <w:rFonts w:ascii="宋体" w:hAnsi="宋体" w:eastAsia="宋体"/>
        </w:rPr>
      </w:pPr>
      <w:r>
        <w:rPr>
          <w:rFonts w:hint="eastAsia" w:ascii="宋体" w:hAnsi="宋体" w:eastAsia="宋体"/>
        </w:rPr>
        <w:t>项目概况</w:t>
      </w:r>
    </w:p>
    <w:p w14:paraId="38D55A9A">
      <w:pPr>
        <w:spacing w:line="312" w:lineRule="auto"/>
        <w:ind w:firstLine="420" w:firstLineChars="200"/>
        <w:rPr>
          <w:rFonts w:ascii="宋体" w:hAnsi="宋体" w:eastAsia="宋体"/>
        </w:rPr>
      </w:pPr>
      <w:r>
        <w:rPr>
          <w:rFonts w:hint="eastAsia" w:ascii="宋体" w:hAnsi="宋体" w:eastAsia="宋体"/>
          <w:u w:val="single"/>
          <w:lang w:eastAsia="zh-CN"/>
        </w:rPr>
        <w:t>郁南县桂圩镇初级中学2025-2026学年食堂食品采购项目</w:t>
      </w:r>
      <w:r>
        <w:rPr>
          <w:rFonts w:hint="eastAsia" w:ascii="宋体" w:hAnsi="宋体" w:eastAsia="宋体"/>
        </w:rPr>
        <w:t>的潜在投标人应在</w:t>
      </w:r>
      <w:r>
        <w:rPr>
          <w:rFonts w:hint="eastAsia" w:ascii="宋体" w:hAnsi="宋体" w:eastAsia="宋体"/>
          <w:u w:val="single"/>
          <w:lang w:eastAsia="zh-CN"/>
        </w:rPr>
        <w:t>郁南县都城镇二环东路87号5楼</w:t>
      </w:r>
      <w:r>
        <w:rPr>
          <w:rFonts w:hint="eastAsia" w:ascii="宋体" w:hAnsi="宋体" w:eastAsia="宋体"/>
        </w:rPr>
        <w:t>获取采购文件，于</w:t>
      </w:r>
      <w:r>
        <w:rPr>
          <w:rFonts w:hint="eastAsia" w:ascii="宋体" w:hAnsi="宋体" w:eastAsia="宋体"/>
          <w:u w:val="single"/>
        </w:rPr>
        <w:t>2025</w:t>
      </w:r>
      <w:r>
        <w:rPr>
          <w:rFonts w:hint="eastAsia" w:ascii="宋体" w:hAnsi="宋体" w:eastAsia="宋体"/>
        </w:rPr>
        <w:t>年</w:t>
      </w:r>
      <w:r>
        <w:rPr>
          <w:rFonts w:hint="eastAsia" w:ascii="宋体" w:hAnsi="宋体" w:eastAsia="宋体"/>
          <w:u w:val="single"/>
          <w:lang w:val="en-US" w:eastAsia="zh-CN"/>
        </w:rPr>
        <w:t>8</w:t>
      </w:r>
      <w:r>
        <w:rPr>
          <w:rFonts w:hint="eastAsia" w:ascii="宋体" w:hAnsi="宋体" w:eastAsia="宋体"/>
        </w:rPr>
        <w:t>月</w:t>
      </w:r>
      <w:r>
        <w:rPr>
          <w:rFonts w:hint="eastAsia" w:ascii="宋体" w:hAnsi="宋体" w:eastAsia="宋体"/>
          <w:u w:val="single"/>
          <w:lang w:val="en-US" w:eastAsia="zh-CN"/>
        </w:rPr>
        <w:t>22</w:t>
      </w:r>
      <w:r>
        <w:rPr>
          <w:rFonts w:hint="eastAsia" w:ascii="宋体" w:hAnsi="宋体" w:eastAsia="宋体"/>
        </w:rPr>
        <w:t>日</w:t>
      </w:r>
      <w:r>
        <w:rPr>
          <w:rFonts w:hint="eastAsia" w:ascii="宋体" w:hAnsi="宋体" w:eastAsia="宋体"/>
          <w:u w:val="single"/>
          <w:lang w:val="en-US" w:eastAsia="zh-CN"/>
        </w:rPr>
        <w:t>15</w:t>
      </w:r>
      <w:r>
        <w:rPr>
          <w:rFonts w:hint="eastAsia" w:ascii="宋体" w:hAnsi="宋体" w:eastAsia="宋体"/>
        </w:rPr>
        <w:t>时</w:t>
      </w:r>
      <w:r>
        <w:rPr>
          <w:rFonts w:hint="eastAsia" w:ascii="宋体" w:hAnsi="宋体" w:eastAsia="宋体"/>
          <w:u w:val="single"/>
          <w:lang w:val="en-US" w:eastAsia="zh-CN"/>
        </w:rPr>
        <w:t>0</w:t>
      </w:r>
      <w:r>
        <w:rPr>
          <w:rFonts w:hint="eastAsia" w:ascii="宋体" w:hAnsi="宋体" w:eastAsia="宋体"/>
          <w:u w:val="single"/>
        </w:rPr>
        <w:t>0</w:t>
      </w:r>
      <w:r>
        <w:rPr>
          <w:rFonts w:hint="eastAsia" w:ascii="宋体" w:hAnsi="宋体" w:eastAsia="宋体"/>
        </w:rPr>
        <w:t>分（北京时间）前在</w:t>
      </w:r>
      <w:r>
        <w:rPr>
          <w:rFonts w:hint="eastAsia" w:ascii="宋体" w:hAnsi="宋体" w:eastAsia="宋体"/>
          <w:u w:val="single"/>
        </w:rPr>
        <w:t>郁南县都城镇二环东路87号5楼</w:t>
      </w:r>
      <w:r>
        <w:rPr>
          <w:rFonts w:hint="eastAsia" w:ascii="宋体" w:hAnsi="宋体" w:eastAsia="宋体"/>
        </w:rPr>
        <w:t>提交响应文件。</w:t>
      </w:r>
    </w:p>
    <w:p w14:paraId="7CB5A35B">
      <w:pPr>
        <w:spacing w:line="312" w:lineRule="auto"/>
        <w:rPr>
          <w:rFonts w:ascii="宋体" w:hAnsi="宋体" w:eastAsia="宋体"/>
          <w:b/>
        </w:rPr>
      </w:pPr>
      <w:r>
        <w:rPr>
          <w:rFonts w:hint="eastAsia" w:ascii="宋体" w:hAnsi="宋体" w:eastAsia="宋体"/>
          <w:b/>
        </w:rPr>
        <w:t>一、项目基本情况</w:t>
      </w:r>
    </w:p>
    <w:p w14:paraId="5DE31F60">
      <w:pPr>
        <w:spacing w:line="312" w:lineRule="auto"/>
        <w:rPr>
          <w:rFonts w:hint="eastAsia" w:ascii="宋体" w:hAnsi="宋体" w:eastAsia="宋体"/>
          <w:lang w:eastAsia="zh-CN"/>
        </w:rPr>
      </w:pPr>
      <w:r>
        <w:rPr>
          <w:rFonts w:hint="eastAsia" w:ascii="宋体" w:hAnsi="宋体" w:eastAsia="宋体"/>
        </w:rPr>
        <w:t>项目编号：</w:t>
      </w:r>
      <w:r>
        <w:rPr>
          <w:rFonts w:hint="eastAsia" w:ascii="宋体" w:hAnsi="宋体" w:eastAsia="宋体"/>
          <w:lang w:eastAsia="zh-CN"/>
        </w:rPr>
        <w:t>GDCF-YN-CG-20250802</w:t>
      </w:r>
    </w:p>
    <w:p w14:paraId="56CCD205">
      <w:pPr>
        <w:spacing w:line="312" w:lineRule="auto"/>
        <w:rPr>
          <w:rFonts w:hint="eastAsia" w:ascii="宋体" w:hAnsi="宋体" w:eastAsia="宋体"/>
          <w:lang w:eastAsia="zh-CN"/>
        </w:rPr>
      </w:pPr>
      <w:r>
        <w:rPr>
          <w:rFonts w:hint="eastAsia" w:ascii="宋体" w:hAnsi="宋体" w:eastAsia="宋体"/>
        </w:rPr>
        <w:t>项目名称：</w:t>
      </w:r>
      <w:r>
        <w:rPr>
          <w:rFonts w:hint="eastAsia" w:ascii="宋体" w:hAnsi="宋体" w:eastAsia="宋体"/>
          <w:lang w:eastAsia="zh-CN"/>
        </w:rPr>
        <w:t>郁南县桂圩镇初级中学2025-2026学年食堂食品采购项目</w:t>
      </w:r>
    </w:p>
    <w:p w14:paraId="61E23C61">
      <w:pPr>
        <w:spacing w:line="312" w:lineRule="auto"/>
        <w:rPr>
          <w:rFonts w:ascii="宋体" w:hAnsi="宋体" w:eastAsia="宋体"/>
        </w:rPr>
      </w:pPr>
      <w:r>
        <w:rPr>
          <w:rFonts w:hint="eastAsia" w:ascii="宋体" w:hAnsi="宋体" w:eastAsia="宋体"/>
        </w:rPr>
        <w:t>采购方式：竞争性磋商</w:t>
      </w:r>
    </w:p>
    <w:p w14:paraId="46DA6879">
      <w:pPr>
        <w:spacing w:line="312"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预算金额：人民币</w:t>
      </w:r>
      <w:r>
        <w:rPr>
          <w:rFonts w:hint="eastAsia" w:ascii="宋体" w:hAnsi="宋体" w:eastAsia="宋体"/>
          <w:color w:val="000000" w:themeColor="text1"/>
          <w:lang w:val="en-US" w:eastAsia="zh-CN"/>
          <w14:textFill>
            <w14:solidFill>
              <w14:schemeClr w14:val="tx1"/>
            </w14:solidFill>
          </w14:textFill>
        </w:rPr>
        <w:t>肆拾万元整</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400000.00</w:t>
      </w:r>
      <w:r>
        <w:rPr>
          <w:rFonts w:hint="eastAsia" w:ascii="宋体" w:hAnsi="宋体" w:eastAsia="宋体"/>
          <w:color w:val="000000" w:themeColor="text1"/>
          <w14:textFill>
            <w14:solidFill>
              <w14:schemeClr w14:val="tx1"/>
            </w14:solidFill>
          </w14:textFill>
        </w:rPr>
        <w:t>元）</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（按实际结算）</w:t>
      </w:r>
    </w:p>
    <w:p w14:paraId="2ACAC96F">
      <w:pPr>
        <w:spacing w:line="312" w:lineRule="auto"/>
        <w:rPr>
          <w:rFonts w:ascii="宋体" w:hAnsi="宋体" w:eastAsia="宋体"/>
        </w:rPr>
      </w:pPr>
      <w:r>
        <w:rPr>
          <w:rFonts w:hint="eastAsia" w:ascii="宋体" w:hAnsi="宋体" w:eastAsia="宋体"/>
        </w:rPr>
        <w:t>采购需求：</w:t>
      </w:r>
      <w:r>
        <w:rPr>
          <w:rFonts w:ascii="宋体" w:hAnsi="宋体" w:eastAsia="宋体"/>
        </w:rPr>
        <w:t>（包括但不限于标的的名称、数量、简要技术需求或服务要求等）</w:t>
      </w:r>
    </w:p>
    <w:p w14:paraId="59FEE565">
      <w:pPr>
        <w:spacing w:line="312" w:lineRule="auto"/>
        <w:ind w:firstLine="210" w:firstLineChars="100"/>
        <w:rPr>
          <w:rFonts w:hint="eastAsia" w:ascii="宋体" w:hAnsi="宋体" w:eastAsia="宋体"/>
          <w:lang w:eastAsia="zh-CN"/>
        </w:rPr>
      </w:pPr>
      <w:r>
        <w:rPr>
          <w:rFonts w:hint="eastAsia" w:ascii="宋体" w:hAnsi="宋体" w:eastAsia="宋体"/>
        </w:rPr>
        <w:t>1、标的名称：</w:t>
      </w:r>
      <w:r>
        <w:rPr>
          <w:rFonts w:hint="eastAsia" w:ascii="宋体" w:hAnsi="宋体" w:eastAsia="宋体"/>
          <w:lang w:eastAsia="zh-CN"/>
        </w:rPr>
        <w:t>郁南县桂圩镇初级中学2025-2026学年食堂食品采购项目</w:t>
      </w:r>
    </w:p>
    <w:p w14:paraId="55D88BE5">
      <w:pPr>
        <w:spacing w:line="312" w:lineRule="auto"/>
        <w:ind w:firstLine="210" w:firstLineChars="100"/>
        <w:rPr>
          <w:rFonts w:ascii="宋体" w:hAnsi="宋体" w:eastAsia="宋体"/>
        </w:rPr>
      </w:pPr>
      <w:r>
        <w:rPr>
          <w:rFonts w:hint="eastAsia" w:ascii="宋体" w:hAnsi="宋体" w:eastAsia="宋体"/>
        </w:rPr>
        <w:t>2、标的数量：1 项</w:t>
      </w:r>
    </w:p>
    <w:p w14:paraId="46BA9E9E">
      <w:pPr>
        <w:spacing w:line="312" w:lineRule="auto"/>
        <w:ind w:firstLine="210" w:firstLineChars="100"/>
        <w:rPr>
          <w:rFonts w:ascii="宋体" w:hAnsi="宋体" w:eastAsia="宋体"/>
        </w:rPr>
      </w:pPr>
      <w:r>
        <w:rPr>
          <w:rFonts w:hint="eastAsia" w:ascii="宋体" w:hAnsi="宋体" w:eastAsia="宋体"/>
        </w:rPr>
        <w:t>3、简要技术需求或服务要求：</w:t>
      </w:r>
    </w:p>
    <w:p w14:paraId="252D4736">
      <w:pPr>
        <w:spacing w:line="312" w:lineRule="auto"/>
        <w:ind w:firstLine="525" w:firstLineChars="250"/>
        <w:rPr>
          <w:rFonts w:ascii="宋体" w:hAnsi="宋体" w:eastAsia="宋体"/>
        </w:rPr>
      </w:pPr>
      <w:r>
        <w:rPr>
          <w:rFonts w:hint="eastAsia" w:ascii="宋体" w:hAnsi="宋体" w:eastAsia="宋体"/>
        </w:rPr>
        <w:t>（1）采购范围：</w:t>
      </w:r>
      <w:r>
        <w:rPr>
          <w:rFonts w:hint="eastAsia" w:ascii="宋体" w:hAnsi="宋体" w:eastAsia="宋体"/>
          <w:lang w:eastAsia="zh-CN"/>
        </w:rPr>
        <w:t>郁南县桂圩镇初级中学2025-2026学年食堂食品采购项目</w:t>
      </w:r>
      <w:r>
        <w:rPr>
          <w:rFonts w:hint="eastAsia" w:ascii="宋体" w:hAnsi="宋体" w:eastAsia="宋体"/>
        </w:rPr>
        <w:t>。</w:t>
      </w:r>
    </w:p>
    <w:p w14:paraId="1C69404A">
      <w:pPr>
        <w:spacing w:line="312" w:lineRule="auto"/>
        <w:ind w:firstLine="525" w:firstLineChars="250"/>
        <w:rPr>
          <w:rFonts w:ascii="宋体" w:hAnsi="宋体" w:eastAsia="宋体"/>
        </w:rPr>
      </w:pPr>
      <w:r>
        <w:rPr>
          <w:rFonts w:hint="eastAsia" w:ascii="宋体" w:hAnsi="宋体" w:eastAsia="宋体"/>
        </w:rPr>
        <w:t>（2）采购需求内容：详见竞争性磋商文件用户需求书。</w:t>
      </w:r>
    </w:p>
    <w:p w14:paraId="5AB00ABB">
      <w:pPr>
        <w:spacing w:line="312" w:lineRule="auto"/>
        <w:ind w:firstLine="525" w:firstLineChars="250"/>
        <w:rPr>
          <w:rFonts w:ascii="宋体" w:hAnsi="宋体" w:eastAsia="宋体"/>
        </w:rPr>
      </w:pPr>
      <w:r>
        <w:rPr>
          <w:rFonts w:hint="eastAsia" w:ascii="宋体" w:hAnsi="宋体" w:eastAsia="宋体"/>
        </w:rPr>
        <w:t>（3）合同履行期限：</w:t>
      </w:r>
      <w:r>
        <w:rPr>
          <w:rFonts w:hint="eastAsia" w:asciiTheme="minorEastAsia" w:hAnsiTheme="minorEastAsia" w:eastAsiaTheme="minorEastAsia" w:cstheme="minorEastAsia"/>
          <w:color w:val="auto"/>
          <w:sz w:val="21"/>
          <w:szCs w:val="21"/>
          <w:highlight w:val="none"/>
          <w:lang w:val="en-US" w:eastAsia="zh-CN"/>
        </w:rPr>
        <w:t>自签订供货合同日期起，供货合同期为一年</w:t>
      </w:r>
      <w:r>
        <w:rPr>
          <w:rFonts w:hint="eastAsia" w:ascii="宋体" w:hAnsi="宋体" w:eastAsia="宋体"/>
          <w:szCs w:val="21"/>
        </w:rPr>
        <w:t>。（具体按签订合同之日起计算）</w:t>
      </w:r>
    </w:p>
    <w:p w14:paraId="08DC0B95">
      <w:pPr>
        <w:spacing w:line="312" w:lineRule="auto"/>
        <w:ind w:firstLine="422" w:firstLineChars="200"/>
        <w:rPr>
          <w:rFonts w:ascii="宋体" w:hAnsi="宋体" w:eastAsia="宋体"/>
        </w:rPr>
      </w:pPr>
      <w:r>
        <w:rPr>
          <w:rFonts w:hint="eastAsia" w:ascii="宋体" w:hAnsi="宋体" w:eastAsia="宋体"/>
          <w:b/>
          <w:bCs/>
        </w:rPr>
        <w:t>4、本项目不属于政府采购项目，参照政府采购程序进行竞争性磋商。</w:t>
      </w:r>
    </w:p>
    <w:p w14:paraId="728A62D5">
      <w:pPr>
        <w:spacing w:line="312" w:lineRule="auto"/>
        <w:rPr>
          <w:rFonts w:ascii="宋体" w:hAnsi="宋体" w:eastAsia="宋体"/>
          <w:b/>
        </w:rPr>
      </w:pPr>
      <w:r>
        <w:rPr>
          <w:rFonts w:ascii="宋体" w:hAnsi="宋体" w:eastAsia="宋体"/>
          <w:b/>
        </w:rPr>
        <w:t>二、申请人的资格要求</w:t>
      </w:r>
    </w:p>
    <w:p w14:paraId="36E3E182">
      <w:pPr>
        <w:spacing w:line="312" w:lineRule="auto"/>
        <w:ind w:firstLine="420" w:firstLineChars="200"/>
        <w:rPr>
          <w:rFonts w:ascii="宋体" w:hAnsi="宋体" w:eastAsia="宋体"/>
        </w:rPr>
      </w:pPr>
      <w:r>
        <w:rPr>
          <w:rFonts w:hint="eastAsia" w:ascii="宋体" w:hAnsi="宋体" w:eastAsia="宋体"/>
        </w:rPr>
        <w:t>1、满足《中华人民共和国政府采购法》第二十二条规定：</w:t>
      </w:r>
    </w:p>
    <w:p w14:paraId="2CD00F3D">
      <w:pPr>
        <w:spacing w:line="312" w:lineRule="auto"/>
        <w:ind w:firstLine="420" w:firstLineChars="200"/>
        <w:rPr>
          <w:rFonts w:ascii="宋体" w:hAnsi="宋体" w:eastAsia="宋体"/>
        </w:rPr>
      </w:pPr>
      <w:r>
        <w:rPr>
          <w:rFonts w:hint="eastAsia" w:ascii="宋体" w:hAnsi="宋体" w:eastAsia="宋体"/>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39F3C2A1">
      <w:pPr>
        <w:spacing w:line="312" w:lineRule="auto"/>
        <w:ind w:firstLine="420" w:firstLineChars="200"/>
        <w:rPr>
          <w:rFonts w:ascii="宋体" w:hAnsi="宋体" w:eastAsia="宋体"/>
        </w:rPr>
      </w:pPr>
      <w:r>
        <w:rPr>
          <w:rFonts w:hint="eastAsia" w:ascii="宋体" w:hAnsi="宋体" w:eastAsia="宋体"/>
        </w:rPr>
        <w:t>2）有依法缴纳税收和社会保障资金的良好记录：提供书面承诺声明函，格式自拟。</w:t>
      </w:r>
    </w:p>
    <w:p w14:paraId="15A0E370">
      <w:pPr>
        <w:spacing w:line="312" w:lineRule="auto"/>
        <w:ind w:firstLine="420" w:firstLineChars="200"/>
        <w:rPr>
          <w:rFonts w:ascii="宋体" w:hAnsi="宋体" w:eastAsia="宋体"/>
        </w:rPr>
      </w:pPr>
      <w:r>
        <w:rPr>
          <w:rFonts w:hint="eastAsia" w:ascii="宋体" w:hAnsi="宋体" w:eastAsia="宋体"/>
        </w:rPr>
        <w:t>3）具有良好的商业信誉和健全的财务会计制度：提供书面承诺声明函，格式自拟。</w:t>
      </w:r>
    </w:p>
    <w:p w14:paraId="77FA6CEE">
      <w:pPr>
        <w:spacing w:line="312" w:lineRule="auto"/>
        <w:ind w:firstLine="420" w:firstLineChars="200"/>
        <w:rPr>
          <w:rFonts w:ascii="宋体" w:hAnsi="宋体" w:eastAsia="宋体"/>
        </w:rPr>
      </w:pPr>
      <w:r>
        <w:rPr>
          <w:rFonts w:hint="eastAsia" w:ascii="宋体" w:hAnsi="宋体" w:eastAsia="宋体"/>
        </w:rPr>
        <w:t>4）履行合同所必需的设备和专业技术能力：按投标（响应）文件格式填报设备及专业技术能力情况。</w:t>
      </w:r>
    </w:p>
    <w:p w14:paraId="7DEF6F9E">
      <w:pPr>
        <w:spacing w:line="312" w:lineRule="auto"/>
        <w:ind w:firstLine="420" w:firstLineChars="200"/>
        <w:rPr>
          <w:rFonts w:ascii="宋体" w:hAnsi="宋体" w:eastAsia="宋体"/>
        </w:rPr>
      </w:pPr>
      <w:r>
        <w:rPr>
          <w:rFonts w:hint="eastAsia" w:ascii="宋体" w:hAnsi="宋体" w:eastAsia="宋体"/>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EAE9A40">
      <w:pPr>
        <w:spacing w:line="312" w:lineRule="auto"/>
        <w:ind w:firstLine="422" w:firstLineChars="200"/>
        <w:rPr>
          <w:rFonts w:ascii="宋体" w:hAnsi="宋体" w:eastAsia="宋体"/>
          <w:b/>
        </w:rPr>
      </w:pPr>
      <w:r>
        <w:rPr>
          <w:rFonts w:hint="eastAsia" w:ascii="宋体" w:hAnsi="宋体" w:eastAsia="宋体"/>
          <w:b/>
        </w:rPr>
        <w:t>2、落实政府采购政策需满足的资格要求：</w:t>
      </w:r>
    </w:p>
    <w:p w14:paraId="57905E9A">
      <w:pPr>
        <w:spacing w:line="312" w:lineRule="auto"/>
        <w:ind w:firstLine="420" w:firstLineChars="200"/>
        <w:rPr>
          <w:rFonts w:ascii="宋体" w:hAnsi="宋体" w:eastAsia="宋体"/>
        </w:rPr>
      </w:pPr>
      <w:r>
        <w:rPr>
          <w:rFonts w:hint="eastAsia" w:ascii="宋体" w:hAnsi="宋体" w:eastAsia="宋体"/>
        </w:rPr>
        <w:t>（1）需要落实的政府采购政策:《政府采购促进中小企业发展管理办法》财库〔2020〕46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 号）等。</w:t>
      </w:r>
    </w:p>
    <w:p w14:paraId="76659EAC">
      <w:pPr>
        <w:spacing w:line="312" w:lineRule="auto"/>
        <w:ind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（2）本项目专门面向中小企业采购。</w:t>
      </w:r>
      <w:r>
        <w:rPr>
          <w:rFonts w:hint="eastAsia" w:ascii="宋体" w:hAnsi="宋体" w:eastAsia="宋体"/>
          <w:color w:val="000000" w:themeColor="text1"/>
          <w:lang w:eastAsia="zh-CN"/>
          <w14:textFill>
            <w14:solidFill>
              <w14:schemeClr w14:val="tx1"/>
            </w14:solidFill>
          </w14:textFill>
        </w:rPr>
        <w:t>所属行业为：批发业。</w:t>
      </w:r>
    </w:p>
    <w:p w14:paraId="7BA7ED40">
      <w:pPr>
        <w:spacing w:line="312" w:lineRule="auto"/>
        <w:ind w:firstLine="422" w:firstLineChars="200"/>
        <w:rPr>
          <w:rFonts w:ascii="宋体" w:hAnsi="宋体" w:eastAsia="宋体"/>
          <w:b/>
        </w:rPr>
      </w:pPr>
      <w:r>
        <w:rPr>
          <w:rFonts w:hint="eastAsia" w:ascii="宋体" w:hAnsi="宋体" w:eastAsia="宋体"/>
          <w:b/>
        </w:rPr>
        <w:t>3、本项目的特定资格要求</w:t>
      </w:r>
    </w:p>
    <w:p w14:paraId="2040B783">
      <w:pPr>
        <w:spacing w:line="312" w:lineRule="auto"/>
        <w:ind w:firstLine="420" w:firstLineChars="200"/>
        <w:rPr>
          <w:rFonts w:ascii="宋体" w:hAnsi="宋体" w:eastAsia="宋体"/>
        </w:rPr>
      </w:pPr>
      <w:r>
        <w:rPr>
          <w:rFonts w:hint="eastAsia" w:ascii="宋体" w:hAnsi="宋体" w:eastAsia="宋体"/>
        </w:rPr>
        <w:t>3.1供应商未被列入“信用中国”网站(www.creditchina.gov.cn)“重大税收违法失信、政府采购严重违法失信”记录名单；中国执行信息公开网（http://zxgk.court.gov.cn）“失信被执行人”记录名单；不处于中国政府采购网(www.ccgp.gov.cn)“政府采购严重违法失信行为信息记录”中的禁止参加政府采购活动期间。【在“信用中国”网站（www.creditchina.gov.cn ）、中国执行信息公开网（http://zxgk.court.gov.cn）及中国政府采购网(www.ccgp.gov.cn )查询结果以投标人提供截图并加盖公章为准，如相关失信记录已失效，投标人需提供相关证明资料】。</w:t>
      </w:r>
    </w:p>
    <w:p w14:paraId="5CCBD61E">
      <w:pPr>
        <w:spacing w:line="312" w:lineRule="auto"/>
        <w:ind w:firstLine="420" w:firstLineChars="200"/>
        <w:rPr>
          <w:rFonts w:ascii="宋体" w:hAnsi="宋体" w:eastAsia="宋体"/>
        </w:rPr>
      </w:pPr>
      <w:r>
        <w:rPr>
          <w:rFonts w:hint="eastAsia" w:ascii="宋体" w:hAnsi="宋体" w:eastAsia="宋体"/>
        </w:rPr>
        <w:t>3.2单位负责人为同一人或者存在直接控股、管理关系的不同供应商，不得同时参加本采购项目投标。为本项目提供规范编制或者项目管理、检测等服务的供应商，不得再参与本项目投标。（提供书面承诺声明函，格式自拟。）</w:t>
      </w:r>
    </w:p>
    <w:p w14:paraId="3DAD6DC4">
      <w:pPr>
        <w:spacing w:line="312" w:lineRule="auto"/>
        <w:ind w:firstLine="420" w:firstLineChars="200"/>
        <w:rPr>
          <w:rFonts w:ascii="宋体" w:hAnsi="宋体" w:eastAsia="宋体"/>
        </w:rPr>
      </w:pPr>
      <w:r>
        <w:rPr>
          <w:rFonts w:hint="eastAsia" w:ascii="宋体" w:hAnsi="宋体" w:eastAsia="宋体"/>
        </w:rPr>
        <w:t>3.3投标人须具有有效期内的《食品经营许可证》。（国家另有规定的，从其规定）。</w:t>
      </w:r>
    </w:p>
    <w:p w14:paraId="7E8B4F96">
      <w:pPr>
        <w:spacing w:line="312" w:lineRule="auto"/>
        <w:rPr>
          <w:rFonts w:ascii="宋体" w:hAnsi="宋体" w:eastAsia="宋体"/>
          <w:b/>
        </w:rPr>
      </w:pPr>
      <w:r>
        <w:rPr>
          <w:rFonts w:hint="eastAsia" w:ascii="宋体" w:hAnsi="宋体" w:eastAsia="宋体"/>
          <w:b/>
        </w:rPr>
        <w:t>三、获取采购文件</w:t>
      </w:r>
    </w:p>
    <w:p w14:paraId="2A3B64F1">
      <w:pPr>
        <w:spacing w:line="312" w:lineRule="auto"/>
        <w:ind w:firstLine="420" w:firstLineChars="200"/>
        <w:rPr>
          <w:rFonts w:ascii="宋体" w:hAnsi="宋体" w:eastAsia="宋体"/>
        </w:rPr>
      </w:pPr>
      <w:r>
        <w:rPr>
          <w:rFonts w:hint="eastAsia" w:ascii="宋体" w:hAnsi="宋体" w:eastAsia="宋体"/>
        </w:rPr>
        <w:t>时间：</w:t>
      </w:r>
      <w:r>
        <w:rPr>
          <w:rFonts w:hint="eastAsia" w:ascii="宋体" w:hAnsi="宋体" w:eastAsia="宋体"/>
          <w:u w:val="single"/>
        </w:rPr>
        <w:t>2025</w:t>
      </w:r>
      <w:r>
        <w:rPr>
          <w:rFonts w:hint="eastAsia" w:ascii="宋体" w:hAnsi="宋体" w:eastAsia="宋体"/>
        </w:rPr>
        <w:t>年</w:t>
      </w:r>
      <w:r>
        <w:rPr>
          <w:rFonts w:hint="eastAsia" w:ascii="宋体" w:hAnsi="宋体" w:eastAsia="宋体"/>
          <w:u w:val="single"/>
          <w:lang w:val="en-US" w:eastAsia="zh-CN"/>
        </w:rPr>
        <w:t>8</w:t>
      </w:r>
      <w:r>
        <w:rPr>
          <w:rFonts w:hint="eastAsia" w:ascii="宋体" w:hAnsi="宋体" w:eastAsia="宋体"/>
        </w:rPr>
        <w:t>月</w:t>
      </w:r>
      <w:r>
        <w:rPr>
          <w:rFonts w:hint="eastAsia" w:ascii="宋体" w:hAnsi="宋体" w:eastAsia="宋体"/>
          <w:u w:val="single"/>
          <w:lang w:val="en-US" w:eastAsia="zh-CN"/>
        </w:rPr>
        <w:t>11</w:t>
      </w:r>
      <w:r>
        <w:rPr>
          <w:rFonts w:hint="eastAsia" w:ascii="宋体" w:hAnsi="宋体" w:eastAsia="宋体"/>
        </w:rPr>
        <w:t>日至</w:t>
      </w:r>
      <w:r>
        <w:rPr>
          <w:rFonts w:hint="eastAsia" w:ascii="宋体" w:hAnsi="宋体" w:eastAsia="宋体"/>
          <w:u w:val="single"/>
        </w:rPr>
        <w:t>2025</w:t>
      </w:r>
      <w:r>
        <w:rPr>
          <w:rFonts w:hint="eastAsia" w:ascii="宋体" w:hAnsi="宋体" w:eastAsia="宋体"/>
        </w:rPr>
        <w:t>年</w:t>
      </w:r>
      <w:r>
        <w:rPr>
          <w:rFonts w:hint="eastAsia" w:ascii="宋体" w:hAnsi="宋体" w:eastAsia="宋体"/>
          <w:u w:val="single"/>
          <w:lang w:val="en-US" w:eastAsia="zh-CN"/>
        </w:rPr>
        <w:t>8</w:t>
      </w:r>
      <w:r>
        <w:rPr>
          <w:rFonts w:hint="eastAsia" w:ascii="宋体" w:hAnsi="宋体" w:eastAsia="宋体"/>
        </w:rPr>
        <w:t>月</w:t>
      </w:r>
      <w:r>
        <w:rPr>
          <w:rFonts w:hint="eastAsia" w:ascii="宋体" w:hAnsi="宋体" w:eastAsia="宋体"/>
          <w:u w:val="single"/>
          <w:lang w:val="en-US" w:eastAsia="zh-CN"/>
        </w:rPr>
        <w:t>15</w:t>
      </w:r>
      <w:r>
        <w:rPr>
          <w:rFonts w:hint="eastAsia" w:ascii="宋体" w:hAnsi="宋体" w:eastAsia="宋体"/>
        </w:rPr>
        <w:t>日，每天上午08:30:00至11:30:00，下午14:30:00至17:30:00（北京时间,法定节假日除外）</w:t>
      </w:r>
    </w:p>
    <w:p w14:paraId="53CA8C69">
      <w:pPr>
        <w:spacing w:line="312" w:lineRule="auto"/>
        <w:ind w:firstLine="420" w:firstLineChars="200"/>
        <w:rPr>
          <w:rFonts w:hint="eastAsia" w:ascii="宋体" w:hAnsi="宋体" w:eastAsia="宋体"/>
          <w:lang w:eastAsia="zh-CN"/>
        </w:rPr>
      </w:pPr>
      <w:r>
        <w:rPr>
          <w:rFonts w:hint="eastAsia" w:ascii="宋体" w:hAnsi="宋体" w:eastAsia="宋体"/>
        </w:rPr>
        <w:t>地点：</w:t>
      </w:r>
      <w:r>
        <w:rPr>
          <w:rFonts w:hint="eastAsia" w:ascii="宋体" w:hAnsi="宋体" w:eastAsia="宋体"/>
          <w:lang w:eastAsia="zh-CN"/>
        </w:rPr>
        <w:t>郁南县都城镇二环东路87号5楼</w:t>
      </w:r>
    </w:p>
    <w:p w14:paraId="5B2B3A17">
      <w:pPr>
        <w:spacing w:line="312" w:lineRule="auto"/>
        <w:ind w:firstLine="420" w:firstLineChars="200"/>
        <w:rPr>
          <w:rFonts w:ascii="宋体" w:hAnsi="宋体" w:eastAsia="宋体"/>
        </w:rPr>
      </w:pPr>
      <w:r>
        <w:rPr>
          <w:rFonts w:hint="eastAsia" w:ascii="宋体" w:hAnsi="宋体" w:eastAsia="宋体"/>
        </w:rPr>
        <w:t>方式：现场获取</w:t>
      </w:r>
    </w:p>
    <w:p w14:paraId="1FA4A527">
      <w:pPr>
        <w:spacing w:line="312" w:lineRule="auto"/>
        <w:ind w:firstLine="420" w:firstLineChars="200"/>
        <w:rPr>
          <w:rFonts w:ascii="宋体" w:hAnsi="宋体" w:eastAsia="宋体"/>
        </w:rPr>
      </w:pPr>
      <w:r>
        <w:rPr>
          <w:rFonts w:hint="eastAsia" w:ascii="宋体" w:hAnsi="宋体" w:eastAsia="宋体"/>
        </w:rPr>
        <w:t>售价：每套</w:t>
      </w:r>
      <w:r>
        <w:rPr>
          <w:rFonts w:hint="eastAsia" w:ascii="宋体" w:hAnsi="宋体" w:eastAsia="宋体"/>
          <w:lang w:val="en-US" w:eastAsia="zh-CN"/>
        </w:rPr>
        <w:t>3</w:t>
      </w:r>
      <w:r>
        <w:rPr>
          <w:rFonts w:hint="eastAsia" w:ascii="宋体" w:hAnsi="宋体" w:eastAsia="宋体"/>
        </w:rPr>
        <w:t>00元。</w:t>
      </w:r>
    </w:p>
    <w:p w14:paraId="389C49F3">
      <w:pPr>
        <w:spacing w:line="312" w:lineRule="auto"/>
        <w:jc w:val="left"/>
        <w:rPr>
          <w:rFonts w:ascii="宋体" w:hAnsi="宋体" w:eastAsia="宋体"/>
          <w:b/>
        </w:rPr>
      </w:pPr>
      <w:r>
        <w:rPr>
          <w:rFonts w:hint="eastAsia" w:ascii="宋体" w:hAnsi="宋体" w:eastAsia="宋体"/>
          <w:b/>
        </w:rPr>
        <w:t>四、响应文件提交</w:t>
      </w:r>
    </w:p>
    <w:p w14:paraId="76936B1A">
      <w:pPr>
        <w:spacing w:line="312" w:lineRule="auto"/>
        <w:ind w:firstLine="420" w:firstLineChars="200"/>
        <w:rPr>
          <w:rFonts w:ascii="宋体" w:hAnsi="宋体" w:eastAsia="宋体"/>
        </w:rPr>
      </w:pPr>
      <w:r>
        <w:rPr>
          <w:rFonts w:hint="eastAsia" w:ascii="宋体" w:hAnsi="宋体" w:eastAsia="宋体"/>
        </w:rPr>
        <w:t>截止时间：</w:t>
      </w:r>
      <w:r>
        <w:rPr>
          <w:rFonts w:hint="eastAsia" w:ascii="宋体" w:hAnsi="宋体" w:eastAsia="宋体"/>
          <w:u w:val="single"/>
        </w:rPr>
        <w:t>2025</w:t>
      </w:r>
      <w:r>
        <w:rPr>
          <w:rFonts w:hint="eastAsia" w:ascii="宋体" w:hAnsi="宋体" w:eastAsia="宋体"/>
        </w:rPr>
        <w:t>年</w:t>
      </w:r>
      <w:r>
        <w:rPr>
          <w:rFonts w:hint="eastAsia" w:ascii="宋体" w:hAnsi="宋体" w:eastAsia="宋体"/>
          <w:u w:val="single"/>
          <w:lang w:val="en-US" w:eastAsia="zh-CN"/>
        </w:rPr>
        <w:t>8</w:t>
      </w:r>
      <w:r>
        <w:rPr>
          <w:rFonts w:hint="eastAsia" w:ascii="宋体" w:hAnsi="宋体" w:eastAsia="宋体"/>
        </w:rPr>
        <w:t>月</w:t>
      </w:r>
      <w:r>
        <w:rPr>
          <w:rFonts w:hint="eastAsia" w:ascii="宋体" w:hAnsi="宋体" w:eastAsia="宋体"/>
          <w:u w:val="single"/>
          <w:lang w:val="en-US" w:eastAsia="zh-CN"/>
        </w:rPr>
        <w:t>22</w:t>
      </w:r>
      <w:r>
        <w:rPr>
          <w:rFonts w:hint="eastAsia" w:ascii="宋体" w:hAnsi="宋体" w:eastAsia="宋体"/>
        </w:rPr>
        <w:t>日</w:t>
      </w:r>
      <w:r>
        <w:rPr>
          <w:rFonts w:hint="eastAsia" w:ascii="宋体" w:hAnsi="宋体" w:eastAsia="宋体"/>
          <w:u w:val="single"/>
          <w:lang w:val="en-US" w:eastAsia="zh-CN"/>
        </w:rPr>
        <w:t>15</w:t>
      </w:r>
      <w:r>
        <w:rPr>
          <w:rFonts w:hint="eastAsia" w:ascii="宋体" w:hAnsi="宋体" w:eastAsia="宋体"/>
        </w:rPr>
        <w:t>时</w:t>
      </w:r>
      <w:r>
        <w:rPr>
          <w:rFonts w:hint="eastAsia" w:ascii="宋体" w:hAnsi="宋体" w:eastAsia="宋体"/>
          <w:u w:val="single"/>
          <w:lang w:val="en-US" w:eastAsia="zh-CN"/>
        </w:rPr>
        <w:t>00</w:t>
      </w:r>
      <w:r>
        <w:rPr>
          <w:rFonts w:hint="eastAsia" w:ascii="宋体" w:hAnsi="宋体" w:eastAsia="宋体"/>
        </w:rPr>
        <w:t>分（北京时间）</w:t>
      </w:r>
    </w:p>
    <w:p w14:paraId="468F50D8">
      <w:pPr>
        <w:spacing w:line="312" w:lineRule="auto"/>
        <w:ind w:firstLine="420" w:firstLineChars="200"/>
        <w:rPr>
          <w:rFonts w:ascii="宋体" w:hAnsi="宋体" w:eastAsia="宋体"/>
        </w:rPr>
      </w:pPr>
      <w:r>
        <w:rPr>
          <w:rFonts w:hint="eastAsia" w:ascii="宋体" w:hAnsi="宋体" w:eastAsia="宋体"/>
        </w:rPr>
        <w:t>地点：郁南县都城镇二环东路87号5楼</w:t>
      </w:r>
      <w:r>
        <w:rPr>
          <w:rFonts w:hint="eastAsia" w:ascii="宋体" w:hAnsi="宋体" w:eastAsia="宋体"/>
          <w:color w:val="000000"/>
          <w:shd w:val="clear" w:color="auto" w:fill="FFFFFF"/>
        </w:rPr>
        <w:t>。</w:t>
      </w:r>
    </w:p>
    <w:p w14:paraId="4D0F668D">
      <w:pPr>
        <w:spacing w:line="312" w:lineRule="auto"/>
        <w:rPr>
          <w:rFonts w:ascii="宋体" w:hAnsi="宋体" w:eastAsia="宋体"/>
          <w:b/>
        </w:rPr>
      </w:pPr>
      <w:r>
        <w:rPr>
          <w:rFonts w:hint="eastAsia" w:ascii="宋体" w:hAnsi="宋体" w:eastAsia="宋体"/>
          <w:b/>
        </w:rPr>
        <w:t>五、开启</w:t>
      </w:r>
    </w:p>
    <w:p w14:paraId="510087C2">
      <w:pPr>
        <w:spacing w:line="312" w:lineRule="auto"/>
        <w:ind w:firstLine="420" w:firstLineChars="200"/>
        <w:rPr>
          <w:rFonts w:ascii="宋体" w:hAnsi="宋体" w:eastAsia="宋体"/>
        </w:rPr>
      </w:pPr>
      <w:r>
        <w:rPr>
          <w:rFonts w:hint="eastAsia" w:ascii="宋体" w:hAnsi="宋体" w:eastAsia="宋体"/>
        </w:rPr>
        <w:t>时间：</w:t>
      </w:r>
      <w:r>
        <w:rPr>
          <w:rFonts w:hint="eastAsia" w:ascii="宋体" w:hAnsi="宋体" w:eastAsia="宋体"/>
          <w:u w:val="single"/>
        </w:rPr>
        <w:t>2025</w:t>
      </w:r>
      <w:r>
        <w:rPr>
          <w:rFonts w:hint="eastAsia" w:ascii="宋体" w:hAnsi="宋体" w:eastAsia="宋体"/>
        </w:rPr>
        <w:t>年</w:t>
      </w:r>
      <w:r>
        <w:rPr>
          <w:rFonts w:hint="eastAsia" w:ascii="宋体" w:hAnsi="宋体" w:eastAsia="宋体"/>
          <w:u w:val="single"/>
          <w:lang w:val="en-US" w:eastAsia="zh-CN"/>
        </w:rPr>
        <w:t>8</w:t>
      </w:r>
      <w:r>
        <w:rPr>
          <w:rFonts w:hint="eastAsia" w:ascii="宋体" w:hAnsi="宋体" w:eastAsia="宋体"/>
        </w:rPr>
        <w:t>月</w:t>
      </w:r>
      <w:r>
        <w:rPr>
          <w:rFonts w:hint="eastAsia" w:ascii="宋体" w:hAnsi="宋体" w:eastAsia="宋体"/>
          <w:u w:val="single"/>
          <w:lang w:val="en-US" w:eastAsia="zh-CN"/>
        </w:rPr>
        <w:t>22</w:t>
      </w:r>
      <w:r>
        <w:rPr>
          <w:rFonts w:hint="eastAsia" w:ascii="宋体" w:hAnsi="宋体" w:eastAsia="宋体"/>
        </w:rPr>
        <w:t>日</w:t>
      </w:r>
      <w:r>
        <w:rPr>
          <w:rFonts w:hint="eastAsia" w:ascii="宋体" w:hAnsi="宋体" w:eastAsia="宋体"/>
          <w:u w:val="single"/>
          <w:lang w:val="en-US" w:eastAsia="zh-CN"/>
        </w:rPr>
        <w:t>15</w:t>
      </w:r>
      <w:r>
        <w:rPr>
          <w:rFonts w:hint="eastAsia" w:ascii="宋体" w:hAnsi="宋体" w:eastAsia="宋体"/>
        </w:rPr>
        <w:t>时</w:t>
      </w:r>
      <w:r>
        <w:rPr>
          <w:rFonts w:hint="eastAsia" w:ascii="宋体" w:hAnsi="宋体" w:eastAsia="宋体"/>
          <w:u w:val="single"/>
          <w:lang w:val="en-US" w:eastAsia="zh-CN"/>
        </w:rPr>
        <w:t>00</w:t>
      </w:r>
      <w:r>
        <w:rPr>
          <w:rFonts w:hint="eastAsia" w:ascii="宋体" w:hAnsi="宋体" w:eastAsia="宋体"/>
        </w:rPr>
        <w:t>分（北京时间）</w:t>
      </w:r>
    </w:p>
    <w:p w14:paraId="061E14E8">
      <w:pPr>
        <w:spacing w:line="312" w:lineRule="auto"/>
        <w:ind w:firstLine="420" w:firstLineChars="200"/>
        <w:rPr>
          <w:rFonts w:ascii="宋体" w:hAnsi="宋体" w:eastAsia="宋体"/>
        </w:rPr>
      </w:pPr>
      <w:r>
        <w:rPr>
          <w:rFonts w:hint="eastAsia" w:ascii="宋体" w:hAnsi="宋体" w:eastAsia="宋体"/>
        </w:rPr>
        <w:t>地点：郁南县都城镇二环东路87号5楼</w:t>
      </w:r>
      <w:r>
        <w:rPr>
          <w:rFonts w:hint="eastAsia" w:ascii="宋体" w:hAnsi="宋体" w:eastAsia="宋体"/>
          <w:color w:val="000000"/>
          <w:shd w:val="clear" w:color="auto" w:fill="FFFFFF"/>
        </w:rPr>
        <w:t>。</w:t>
      </w:r>
    </w:p>
    <w:p w14:paraId="41A1A1D3">
      <w:pPr>
        <w:spacing w:line="312" w:lineRule="auto"/>
        <w:jc w:val="left"/>
        <w:rPr>
          <w:rFonts w:ascii="宋体" w:hAnsi="宋体" w:eastAsia="宋体"/>
          <w:b/>
        </w:rPr>
      </w:pPr>
      <w:r>
        <w:rPr>
          <w:rFonts w:hint="eastAsia" w:ascii="宋体" w:hAnsi="宋体" w:eastAsia="宋体"/>
          <w:b/>
        </w:rPr>
        <w:t>六、公告期限</w:t>
      </w:r>
    </w:p>
    <w:p w14:paraId="3DED6B4E">
      <w:pPr>
        <w:spacing w:line="312" w:lineRule="auto"/>
        <w:ind w:firstLine="420" w:firstLineChars="200"/>
        <w:rPr>
          <w:rFonts w:ascii="宋体" w:hAnsi="宋体" w:eastAsia="宋体"/>
        </w:rPr>
      </w:pPr>
      <w:r>
        <w:rPr>
          <w:rFonts w:hint="eastAsia" w:ascii="宋体" w:hAnsi="宋体" w:eastAsia="宋体"/>
        </w:rPr>
        <w:t>自本公告发布之日起5个工作日。</w:t>
      </w:r>
    </w:p>
    <w:p w14:paraId="1B45C059">
      <w:pPr>
        <w:spacing w:line="312" w:lineRule="auto"/>
        <w:jc w:val="left"/>
        <w:rPr>
          <w:rFonts w:ascii="宋体" w:hAnsi="宋体" w:eastAsia="宋体"/>
          <w:b/>
        </w:rPr>
      </w:pPr>
      <w:r>
        <w:rPr>
          <w:rFonts w:hint="eastAsia" w:ascii="宋体" w:hAnsi="宋体" w:eastAsia="宋体"/>
          <w:b/>
        </w:rPr>
        <w:t>七、其他补充事宜</w:t>
      </w:r>
    </w:p>
    <w:p w14:paraId="301D5982">
      <w:pPr>
        <w:spacing w:line="312" w:lineRule="auto"/>
        <w:ind w:firstLine="420" w:firstLineChars="200"/>
        <w:rPr>
          <w:rFonts w:ascii="宋体" w:hAnsi="宋体" w:eastAsia="宋体"/>
        </w:rPr>
      </w:pPr>
      <w:r>
        <w:rPr>
          <w:rFonts w:hint="eastAsia" w:ascii="宋体" w:hAnsi="宋体" w:eastAsia="宋体"/>
        </w:rPr>
        <w:t>获取采购文件方式：</w:t>
      </w:r>
    </w:p>
    <w:p w14:paraId="6864F74D">
      <w:pPr>
        <w:spacing w:line="312" w:lineRule="auto"/>
        <w:ind w:firstLine="420" w:firstLineChars="200"/>
        <w:rPr>
          <w:rFonts w:ascii="宋体" w:hAnsi="宋体" w:eastAsia="宋体"/>
        </w:rPr>
      </w:pPr>
      <w:r>
        <w:rPr>
          <w:rFonts w:hint="eastAsia" w:ascii="宋体" w:hAnsi="宋体" w:eastAsia="宋体"/>
        </w:rPr>
        <w:t>(1)投标人下载</w:t>
      </w:r>
      <w:r>
        <w:rPr>
          <w:rFonts w:hint="eastAsia" w:ascii="宋体" w:hAnsi="宋体" w:eastAsia="宋体"/>
          <w:lang w:eastAsia="zh-CN"/>
        </w:rPr>
        <w:t>《竞争性磋商</w:t>
      </w:r>
      <w:r>
        <w:rPr>
          <w:rFonts w:hint="eastAsia" w:ascii="宋体" w:hAnsi="宋体" w:eastAsia="宋体"/>
        </w:rPr>
        <w:t>文件发售登记表》填报并加盖投标人单位公章后，到我司现场登记报名并购买竞争性磋商文件。</w:t>
      </w:r>
    </w:p>
    <w:p w14:paraId="0FE4D001">
      <w:pPr>
        <w:spacing w:line="312" w:lineRule="auto"/>
        <w:ind w:firstLine="420" w:firstLineChars="200"/>
        <w:rPr>
          <w:rFonts w:ascii="宋体" w:hAnsi="宋体" w:eastAsia="宋体"/>
        </w:rPr>
      </w:pPr>
      <w:r>
        <w:rPr>
          <w:rFonts w:hint="eastAsia" w:ascii="宋体" w:hAnsi="宋体" w:eastAsia="宋体"/>
        </w:rPr>
        <w:t>(2)只接受通过以上方式正式获取竞争性磋商文件的投标人的投标。已成功登记的供应商，不代表通过资格、符合性审查。</w:t>
      </w:r>
    </w:p>
    <w:p w14:paraId="309FE161">
      <w:pPr>
        <w:spacing w:line="312" w:lineRule="auto"/>
        <w:jc w:val="left"/>
        <w:rPr>
          <w:rFonts w:ascii="宋体" w:hAnsi="宋体" w:eastAsia="宋体"/>
          <w:b/>
        </w:rPr>
      </w:pPr>
      <w:r>
        <w:rPr>
          <w:rFonts w:hint="eastAsia" w:ascii="宋体" w:hAnsi="宋体" w:eastAsia="宋体"/>
          <w:b/>
        </w:rPr>
        <w:t>八、项目相关公告发布媒体：</w:t>
      </w:r>
      <w:r>
        <w:rPr>
          <w:rFonts w:hint="eastAsia" w:ascii="宋体" w:hAnsi="宋体" w:eastAsia="宋体"/>
          <w:color w:val="000000" w:themeColor="text1"/>
          <w14:textFill>
            <w14:solidFill>
              <w14:schemeClr w14:val="tx1"/>
            </w14:solidFill>
          </w14:textFill>
        </w:rPr>
        <w:t>广东创富工程管理有限公司（http://www.gdcfgl.com/）、</w:t>
      </w:r>
      <w:r>
        <w:rPr>
          <w:rFonts w:hint="eastAsia" w:ascii="宋体" w:hAnsi="宋体"/>
          <w:color w:val="000000" w:themeColor="text1"/>
          <w14:textFill>
            <w14:solidFill>
              <w14:schemeClr w14:val="tx1"/>
            </w14:solidFill>
          </w14:textFill>
        </w:rPr>
        <w:t>中国招标投标公共服务平台（http://www.cebpubservice.com/）</w:t>
      </w:r>
      <w:r>
        <w:rPr>
          <w:rFonts w:hint="eastAsia" w:ascii="宋体" w:hAnsi="宋体" w:eastAsia="宋体"/>
          <w:color w:val="000000" w:themeColor="text1"/>
          <w14:textFill>
            <w14:solidFill>
              <w14:schemeClr w14:val="tx1"/>
            </w14:solidFill>
          </w14:textFill>
        </w:rPr>
        <w:t>，相关公告及时间以广东创富工程管理有限公司网站上公布为准，不再另行通知。</w:t>
      </w:r>
    </w:p>
    <w:p w14:paraId="07206AE3">
      <w:pPr>
        <w:spacing w:line="312" w:lineRule="auto"/>
        <w:jc w:val="left"/>
        <w:rPr>
          <w:rFonts w:ascii="宋体" w:hAnsi="宋体" w:eastAsia="宋体"/>
          <w:b/>
        </w:rPr>
      </w:pPr>
      <w:r>
        <w:rPr>
          <w:rFonts w:hint="eastAsia" w:ascii="宋体" w:hAnsi="宋体" w:eastAsia="宋体"/>
          <w:b/>
        </w:rPr>
        <w:t>九、凡对本次采购提出询问，请按以下方式联系。</w:t>
      </w:r>
    </w:p>
    <w:p w14:paraId="42D0B363">
      <w:pPr>
        <w:spacing w:line="312" w:lineRule="auto"/>
        <w:rPr>
          <w:rFonts w:ascii="宋体" w:hAnsi="宋体" w:eastAsia="宋体"/>
        </w:rPr>
      </w:pPr>
      <w:r>
        <w:rPr>
          <w:rFonts w:hint="eastAsia" w:ascii="宋体" w:hAnsi="宋体" w:eastAsia="宋体"/>
        </w:rPr>
        <w:t>1.釆购人信息</w:t>
      </w:r>
    </w:p>
    <w:p w14:paraId="595FD70C">
      <w:pPr>
        <w:spacing w:line="312" w:lineRule="auto"/>
        <w:rPr>
          <w:rFonts w:hint="eastAsia" w:ascii="宋体" w:hAnsi="宋体" w:eastAsia="宋体"/>
          <w:lang w:eastAsia="zh-CN"/>
        </w:rPr>
      </w:pPr>
      <w:r>
        <w:rPr>
          <w:rFonts w:hint="eastAsia" w:ascii="宋体" w:hAnsi="宋体" w:eastAsia="宋体"/>
        </w:rPr>
        <w:t>名  称：</w:t>
      </w:r>
      <w:r>
        <w:rPr>
          <w:rFonts w:hint="eastAsia" w:ascii="宋体" w:hAnsi="宋体" w:eastAsia="宋体"/>
          <w:lang w:eastAsia="zh-CN"/>
        </w:rPr>
        <w:t>郁南县桂圩镇初级中学</w:t>
      </w:r>
    </w:p>
    <w:p w14:paraId="51B03BD3">
      <w:pPr>
        <w:spacing w:line="312"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地  址：郁南县桂圩镇桂圩村社村大竹坪</w:t>
      </w:r>
    </w:p>
    <w:p w14:paraId="71ED49DD">
      <w:pPr>
        <w:spacing w:line="312" w:lineRule="auto"/>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联系方式：</w:t>
      </w:r>
      <w:r>
        <w:rPr>
          <w:rFonts w:hint="eastAsia" w:ascii="宋体" w:hAnsi="宋体" w:eastAsia="宋体"/>
          <w:color w:val="000000" w:themeColor="text1"/>
          <w:lang w:val="en-US" w:eastAsia="zh-CN"/>
          <w14:textFill>
            <w14:solidFill>
              <w14:schemeClr w14:val="tx1"/>
            </w14:solidFill>
          </w14:textFill>
        </w:rPr>
        <w:t>0766-7452188</w:t>
      </w:r>
    </w:p>
    <w:p w14:paraId="421DD2E9">
      <w:pPr>
        <w:spacing w:line="312"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2.釆购代理机构信息</w:t>
      </w:r>
    </w:p>
    <w:p w14:paraId="45F8C28D">
      <w:pPr>
        <w:spacing w:line="312"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名  称：广东创富工程管理有限公司</w:t>
      </w:r>
    </w:p>
    <w:p w14:paraId="041A8C8D">
      <w:pPr>
        <w:spacing w:line="312"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地  址：郁南县都城镇二环东路87号5楼</w:t>
      </w:r>
    </w:p>
    <w:p w14:paraId="2F320A69">
      <w:pPr>
        <w:spacing w:line="312"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联系方式：0766-3900633</w:t>
      </w:r>
    </w:p>
    <w:p w14:paraId="73C9CF69">
      <w:pPr>
        <w:spacing w:line="312"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3.项目联系方式</w:t>
      </w:r>
    </w:p>
    <w:p w14:paraId="1B47A38C">
      <w:pPr>
        <w:spacing w:line="312"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釆购单位联系人：</w:t>
      </w:r>
      <w:r>
        <w:rPr>
          <w:rFonts w:hint="eastAsia" w:ascii="宋体" w:hAnsi="宋体" w:eastAsia="宋体"/>
          <w:color w:val="000000" w:themeColor="text1"/>
          <w:lang w:eastAsia="zh-CN"/>
          <w14:textFill>
            <w14:solidFill>
              <w14:schemeClr w14:val="tx1"/>
            </w14:solidFill>
          </w14:textFill>
        </w:rPr>
        <w:t>李老师</w:t>
      </w:r>
    </w:p>
    <w:p w14:paraId="2FF5D6AD">
      <w:pPr>
        <w:spacing w:line="312"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联系电话：</w:t>
      </w:r>
      <w:r>
        <w:rPr>
          <w:rFonts w:hint="eastAsia" w:ascii="宋体" w:hAnsi="宋体" w:eastAsia="宋体"/>
          <w:color w:val="000000" w:themeColor="text1"/>
          <w:lang w:val="en-US" w:eastAsia="zh-CN"/>
          <w14:textFill>
            <w14:solidFill>
              <w14:schemeClr w14:val="tx1"/>
            </w14:solidFill>
          </w14:textFill>
        </w:rPr>
        <w:t>0766-7452188</w:t>
      </w:r>
    </w:p>
    <w:p w14:paraId="24941840">
      <w:pPr>
        <w:spacing w:line="312" w:lineRule="auto"/>
        <w:rPr>
          <w:rFonts w:ascii="宋体" w:hAnsi="宋体" w:eastAsia="宋体"/>
        </w:rPr>
      </w:pPr>
      <w:r>
        <w:rPr>
          <w:rFonts w:hint="eastAsia" w:ascii="宋体" w:hAnsi="宋体" w:eastAsia="宋体"/>
        </w:rPr>
        <w:t>采购代理机构联系人：陈芷媚</w:t>
      </w:r>
    </w:p>
    <w:p w14:paraId="29D0748B">
      <w:pPr>
        <w:spacing w:line="312" w:lineRule="auto"/>
        <w:rPr>
          <w:rFonts w:ascii="宋体" w:hAnsi="宋体" w:eastAsia="宋体"/>
        </w:rPr>
      </w:pPr>
      <w:r>
        <w:rPr>
          <w:rFonts w:hint="eastAsia" w:ascii="宋体" w:hAnsi="宋体" w:eastAsia="宋体"/>
          <w:color w:val="000000" w:themeColor="text1"/>
          <w14:textFill>
            <w14:solidFill>
              <w14:schemeClr w14:val="tx1"/>
            </w14:solidFill>
          </w14:textFill>
        </w:rPr>
        <w:t>联系电话：</w:t>
      </w:r>
      <w:r>
        <w:rPr>
          <w:rFonts w:hint="eastAsia" w:ascii="宋体" w:hAnsi="宋体" w:eastAsia="宋体"/>
        </w:rPr>
        <w:t>0766-3900633</w:t>
      </w:r>
    </w:p>
    <w:p w14:paraId="3B503122">
      <w:pPr>
        <w:spacing w:line="312" w:lineRule="auto"/>
        <w:rPr>
          <w:rFonts w:ascii="宋体" w:hAnsi="宋体" w:eastAsia="宋体"/>
        </w:rPr>
      </w:pPr>
    </w:p>
    <w:p w14:paraId="569C7406">
      <w:pPr>
        <w:spacing w:line="312" w:lineRule="auto"/>
        <w:ind w:right="105"/>
        <w:jc w:val="right"/>
        <w:rPr>
          <w:rFonts w:ascii="宋体" w:hAnsi="宋体" w:eastAsia="宋体"/>
        </w:rPr>
      </w:pPr>
      <w:r>
        <w:rPr>
          <w:rFonts w:hint="eastAsia" w:ascii="宋体" w:hAnsi="宋体" w:eastAsia="宋体"/>
        </w:rPr>
        <w:t>广东创富工程管理有限公司</w:t>
      </w:r>
    </w:p>
    <w:p w14:paraId="681F3B12">
      <w:pPr>
        <w:wordWrap w:val="0"/>
        <w:spacing w:line="312" w:lineRule="auto"/>
        <w:ind w:right="420"/>
        <w:jc w:val="righ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2025年</w:t>
      </w:r>
      <w:r>
        <w:rPr>
          <w:rFonts w:hint="eastAsia" w:ascii="宋体" w:hAnsi="宋体" w:eastAsia="宋体"/>
          <w:color w:val="000000" w:themeColor="text1"/>
          <w:lang w:val="en-US" w:eastAsia="zh-CN"/>
          <w14:textFill>
            <w14:solidFill>
              <w14:schemeClr w14:val="tx1"/>
            </w14:solidFill>
          </w14:textFill>
        </w:rPr>
        <w:t>8</w:t>
      </w:r>
      <w:r>
        <w:rPr>
          <w:rFonts w:hint="eastAsia" w:ascii="宋体" w:hAnsi="宋体" w:eastAsia="宋体"/>
          <w:color w:val="000000" w:themeColor="text1"/>
          <w14:textFill>
            <w14:solidFill>
              <w14:schemeClr w14:val="tx1"/>
            </w14:solidFill>
          </w14:textFill>
        </w:rPr>
        <w:t>月</w:t>
      </w:r>
      <w:r>
        <w:rPr>
          <w:rFonts w:hint="eastAsia" w:ascii="宋体" w:hAnsi="宋体" w:eastAsia="宋体"/>
          <w:color w:val="000000" w:themeColor="text1"/>
          <w:lang w:val="en-US" w:eastAsia="zh-CN"/>
          <w14:textFill>
            <w14:solidFill>
              <w14:schemeClr w14:val="tx1"/>
            </w14:solidFill>
          </w14:textFill>
        </w:rPr>
        <w:t>8</w:t>
      </w:r>
      <w:r>
        <w:rPr>
          <w:rFonts w:hint="eastAsia" w:ascii="宋体" w:hAnsi="宋体" w:eastAsia="宋体"/>
          <w:color w:val="000000" w:themeColor="text1"/>
          <w14:textFill>
            <w14:solidFill>
              <w14:schemeClr w14:val="tx1"/>
            </w14:solidFill>
          </w14:textFill>
        </w:rPr>
        <w:t>日</w:t>
      </w:r>
    </w:p>
    <w:p w14:paraId="37348220">
      <w:pPr>
        <w:spacing w:line="312" w:lineRule="auto"/>
        <w:ind w:right="420"/>
        <w:jc w:val="right"/>
        <w:rPr>
          <w:rFonts w:ascii="宋体" w:hAnsi="宋体" w:eastAsia="宋体"/>
          <w:color w:val="000000" w:themeColor="text1"/>
          <w14:textFill>
            <w14:solidFill>
              <w14:schemeClr w14:val="tx1"/>
            </w14:solidFill>
          </w14:textFill>
        </w:rPr>
      </w:pPr>
    </w:p>
    <w:p w14:paraId="4E662822">
      <w:pPr>
        <w:spacing w:line="312" w:lineRule="auto"/>
        <w:ind w:right="420"/>
        <w:jc w:val="right"/>
        <w:rPr>
          <w:rFonts w:ascii="宋体" w:hAnsi="宋体" w:eastAsia="宋体"/>
          <w:color w:val="000000" w:themeColor="text1"/>
          <w14:textFill>
            <w14:solidFill>
              <w14:schemeClr w14:val="tx1"/>
            </w14:solidFill>
          </w14:textFill>
        </w:rPr>
      </w:pPr>
    </w:p>
    <w:p w14:paraId="5D8AA790">
      <w:pPr>
        <w:spacing w:line="312" w:lineRule="auto"/>
        <w:ind w:right="420"/>
        <w:jc w:val="right"/>
        <w:rPr>
          <w:rFonts w:ascii="宋体" w:hAnsi="宋体" w:eastAsia="宋体"/>
          <w:color w:val="000000" w:themeColor="text1"/>
          <w14:textFill>
            <w14:solidFill>
              <w14:schemeClr w14:val="tx1"/>
            </w14:solidFill>
          </w14:textFill>
        </w:rPr>
      </w:pPr>
    </w:p>
    <w:p w14:paraId="61EA2394">
      <w:pPr>
        <w:spacing w:line="312" w:lineRule="auto"/>
        <w:ind w:right="420"/>
        <w:jc w:val="right"/>
        <w:rPr>
          <w:rFonts w:ascii="宋体" w:hAnsi="宋体" w:eastAsia="宋体"/>
          <w:color w:val="000000" w:themeColor="text1"/>
          <w14:textFill>
            <w14:solidFill>
              <w14:schemeClr w14:val="tx1"/>
            </w14:solidFill>
          </w14:textFill>
        </w:rPr>
      </w:pPr>
    </w:p>
    <w:p w14:paraId="52D2E777">
      <w:pPr>
        <w:spacing w:line="312" w:lineRule="auto"/>
        <w:ind w:right="420"/>
        <w:jc w:val="right"/>
        <w:rPr>
          <w:rFonts w:ascii="宋体" w:hAnsi="宋体" w:eastAsia="宋体"/>
          <w:color w:val="000000" w:themeColor="text1"/>
          <w14:textFill>
            <w14:solidFill>
              <w14:schemeClr w14:val="tx1"/>
            </w14:solidFill>
          </w14:textFill>
        </w:rPr>
      </w:pPr>
    </w:p>
    <w:p w14:paraId="7A056F2B">
      <w:pPr>
        <w:spacing w:line="312" w:lineRule="auto"/>
        <w:ind w:right="420"/>
        <w:jc w:val="right"/>
        <w:rPr>
          <w:rFonts w:ascii="宋体" w:hAnsi="宋体" w:eastAsia="宋体"/>
          <w:color w:val="000000" w:themeColor="text1"/>
          <w14:textFill>
            <w14:solidFill>
              <w14:schemeClr w14:val="tx1"/>
            </w14:solidFill>
          </w14:textFill>
        </w:rPr>
      </w:pPr>
    </w:p>
    <w:p w14:paraId="6D5ECC36">
      <w:pPr>
        <w:spacing w:line="312" w:lineRule="auto"/>
        <w:ind w:right="420"/>
        <w:jc w:val="right"/>
        <w:rPr>
          <w:rFonts w:ascii="宋体" w:hAnsi="宋体" w:eastAsia="宋体"/>
          <w:color w:val="000000" w:themeColor="text1"/>
          <w14:textFill>
            <w14:solidFill>
              <w14:schemeClr w14:val="tx1"/>
            </w14:solidFill>
          </w14:textFill>
        </w:rPr>
      </w:pPr>
    </w:p>
    <w:p w14:paraId="306B6954">
      <w:pPr>
        <w:spacing w:line="312" w:lineRule="auto"/>
        <w:ind w:right="420"/>
        <w:jc w:val="right"/>
        <w:rPr>
          <w:rFonts w:ascii="宋体" w:hAnsi="宋体" w:eastAsia="宋体"/>
          <w:color w:val="000000" w:themeColor="text1"/>
          <w14:textFill>
            <w14:solidFill>
              <w14:schemeClr w14:val="tx1"/>
            </w14:solidFill>
          </w14:textFill>
        </w:rPr>
      </w:pPr>
    </w:p>
    <w:p w14:paraId="081CEF80">
      <w:pPr>
        <w:spacing w:line="312" w:lineRule="auto"/>
        <w:ind w:right="420"/>
        <w:jc w:val="right"/>
        <w:rPr>
          <w:rFonts w:ascii="宋体" w:hAnsi="宋体" w:eastAsia="宋体"/>
          <w:color w:val="000000" w:themeColor="text1"/>
          <w14:textFill>
            <w14:solidFill>
              <w14:schemeClr w14:val="tx1"/>
            </w14:solidFill>
          </w14:textFill>
        </w:rPr>
      </w:pPr>
    </w:p>
    <w:p w14:paraId="76387887">
      <w:pPr>
        <w:spacing w:line="312" w:lineRule="auto"/>
        <w:ind w:right="420"/>
        <w:rPr>
          <w:rFonts w:ascii="宋体" w:hAnsi="宋体" w:eastAsia="宋体"/>
          <w:color w:val="000000" w:themeColor="text1"/>
          <w14:textFill>
            <w14:solidFill>
              <w14:schemeClr w14:val="tx1"/>
            </w14:solidFill>
          </w14:textFill>
        </w:rPr>
      </w:pPr>
    </w:p>
    <w:p w14:paraId="425A11CD">
      <w:pPr>
        <w:spacing w:line="312" w:lineRule="auto"/>
        <w:ind w:right="420"/>
        <w:jc w:val="right"/>
        <w:rPr>
          <w:rFonts w:ascii="宋体" w:hAnsi="宋体" w:eastAsia="宋体"/>
          <w:color w:val="000000" w:themeColor="text1"/>
          <w14:textFill>
            <w14:solidFill>
              <w14:schemeClr w14:val="tx1"/>
            </w14:solidFill>
          </w14:textFill>
        </w:rPr>
      </w:pPr>
    </w:p>
    <w:p w14:paraId="4EED013A">
      <w:pPr>
        <w:rPr>
          <w:rFonts w:ascii="宋体" w:hAnsi="宋体" w:eastAsia="宋体"/>
        </w:rPr>
      </w:pPr>
      <w:r>
        <w:rPr>
          <w:rFonts w:hint="eastAsia" w:ascii="宋体" w:hAnsi="宋体" w:eastAsia="宋体"/>
        </w:rPr>
        <w:br w:type="page"/>
      </w:r>
    </w:p>
    <w:p w14:paraId="7024A78F">
      <w:pPr>
        <w:pStyle w:val="2"/>
        <w:spacing w:line="312" w:lineRule="auto"/>
        <w:rPr>
          <w:rFonts w:ascii="宋体" w:hAnsi="宋体" w:eastAsia="宋体"/>
        </w:rPr>
      </w:pPr>
      <w:bookmarkStart w:id="1" w:name="_Toc152927341"/>
      <w:r>
        <w:rPr>
          <w:rFonts w:hint="eastAsia" w:ascii="宋体" w:hAnsi="宋体" w:eastAsia="宋体"/>
        </w:rPr>
        <w:t>第二章 磋商资料表</w:t>
      </w:r>
      <w:bookmarkEnd w:id="1"/>
    </w:p>
    <w:p w14:paraId="65AAB13B">
      <w:pPr>
        <w:spacing w:line="312" w:lineRule="auto"/>
        <w:ind w:firstLine="420" w:firstLineChars="200"/>
        <w:rPr>
          <w:rFonts w:ascii="宋体" w:hAnsi="宋体" w:eastAsia="宋体"/>
          <w:szCs w:val="21"/>
        </w:rPr>
      </w:pPr>
      <w:r>
        <w:rPr>
          <w:rFonts w:hint="eastAsia" w:ascii="宋体" w:hAnsi="宋体" w:eastAsia="宋体"/>
          <w:szCs w:val="21"/>
        </w:rPr>
        <w:t>该资料表的条款项号是与第七章《磋商须知》条款项号对应的，或增加的条款，是对第七章《磋商须知》的补充、修改和完善，如果有矛盾的话，应以本资料表为准。</w:t>
      </w:r>
    </w:p>
    <w:tbl>
      <w:tblPr>
        <w:tblStyle w:val="40"/>
        <w:tblW w:w="971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8471"/>
      </w:tblGrid>
      <w:tr w14:paraId="5D9385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62FAD07D">
            <w:pPr>
              <w:pStyle w:val="56"/>
              <w:widowControl w:val="0"/>
              <w:autoSpaceDE w:val="0"/>
              <w:autoSpaceDN w:val="0"/>
              <w:adjustRightInd w:val="0"/>
              <w:spacing w:before="0" w:after="0" w:line="312" w:lineRule="auto"/>
              <w:jc w:val="center"/>
              <w:rPr>
                <w:rFonts w:ascii="宋体" w:hAnsi="宋体" w:eastAsia="宋体"/>
                <w:color w:val="000000"/>
                <w:sz w:val="21"/>
                <w:szCs w:val="21"/>
                <w:lang w:eastAsia="zh-CN"/>
              </w:rPr>
            </w:pPr>
            <w:r>
              <w:rPr>
                <w:rFonts w:hint="eastAsia" w:ascii="宋体" w:hAnsi="宋体" w:eastAsia="宋体" w:cs="宋体"/>
                <w:color w:val="000000"/>
                <w:sz w:val="21"/>
                <w:szCs w:val="21"/>
                <w:lang w:eastAsia="zh-CN"/>
              </w:rPr>
              <w:t>条款项号</w:t>
            </w:r>
          </w:p>
        </w:tc>
        <w:tc>
          <w:tcPr>
            <w:tcW w:w="8471" w:type="dxa"/>
            <w:vAlign w:val="center"/>
          </w:tcPr>
          <w:p w14:paraId="6E1C4CDC">
            <w:pPr>
              <w:spacing w:line="312" w:lineRule="auto"/>
              <w:ind w:firstLine="3675" w:firstLineChars="1750"/>
              <w:rPr>
                <w:rFonts w:ascii="宋体" w:hAnsi="宋体" w:eastAsia="宋体"/>
                <w:szCs w:val="21"/>
              </w:rPr>
            </w:pPr>
            <w:r>
              <w:rPr>
                <w:rFonts w:hint="eastAsia" w:ascii="宋体" w:hAnsi="宋体" w:eastAsia="宋体"/>
                <w:szCs w:val="21"/>
              </w:rPr>
              <w:t>内容</w:t>
            </w:r>
          </w:p>
        </w:tc>
      </w:tr>
      <w:tr w14:paraId="032582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13" w:type="dxa"/>
            <w:gridSpan w:val="2"/>
            <w:vAlign w:val="center"/>
          </w:tcPr>
          <w:p w14:paraId="6408D856">
            <w:pPr>
              <w:spacing w:line="312" w:lineRule="auto"/>
              <w:jc w:val="center"/>
              <w:rPr>
                <w:rFonts w:ascii="宋体" w:hAnsi="宋体" w:eastAsia="宋体"/>
                <w:szCs w:val="21"/>
              </w:rPr>
            </w:pPr>
            <w:r>
              <w:rPr>
                <w:rFonts w:hint="eastAsia" w:ascii="宋体" w:hAnsi="宋体" w:eastAsia="宋体"/>
                <w:szCs w:val="21"/>
              </w:rPr>
              <w:t>一、说明</w:t>
            </w:r>
          </w:p>
        </w:tc>
      </w:tr>
      <w:tr w14:paraId="58152E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33998914">
            <w:pPr>
              <w:spacing w:line="312" w:lineRule="auto"/>
              <w:jc w:val="center"/>
              <w:rPr>
                <w:rFonts w:ascii="宋体" w:hAnsi="宋体" w:eastAsia="宋体"/>
                <w:szCs w:val="21"/>
              </w:rPr>
            </w:pPr>
            <w:r>
              <w:rPr>
                <w:rFonts w:hint="eastAsia" w:ascii="宋体" w:hAnsi="宋体" w:eastAsia="宋体"/>
                <w:szCs w:val="21"/>
              </w:rPr>
              <w:t>2.3</w:t>
            </w:r>
          </w:p>
        </w:tc>
        <w:tc>
          <w:tcPr>
            <w:tcW w:w="8471" w:type="dxa"/>
            <w:vAlign w:val="center"/>
          </w:tcPr>
          <w:p w14:paraId="6463C753">
            <w:pPr>
              <w:spacing w:line="312" w:lineRule="auto"/>
              <w:rPr>
                <w:rFonts w:hint="eastAsia" w:ascii="宋体" w:hAnsi="宋体" w:eastAsia="宋体"/>
                <w:szCs w:val="21"/>
                <w:lang w:eastAsia="zh-CN"/>
              </w:rPr>
            </w:pPr>
            <w:r>
              <w:rPr>
                <w:rFonts w:hint="eastAsia" w:ascii="宋体" w:hAnsi="宋体" w:eastAsia="宋体"/>
                <w:szCs w:val="21"/>
              </w:rPr>
              <w:t>采购人名称：</w:t>
            </w:r>
            <w:r>
              <w:rPr>
                <w:rFonts w:hint="eastAsia" w:ascii="宋体" w:hAnsi="宋体" w:eastAsia="宋体"/>
                <w:lang w:eastAsia="zh-CN"/>
              </w:rPr>
              <w:t>郁南县桂圩镇初级中学</w:t>
            </w:r>
          </w:p>
          <w:p w14:paraId="58150B8A">
            <w:pPr>
              <w:spacing w:line="312" w:lineRule="auto"/>
              <w:rPr>
                <w:rFonts w:ascii="宋体" w:hAnsi="宋体" w:eastAsia="宋体"/>
                <w:szCs w:val="21"/>
              </w:rPr>
            </w:pPr>
            <w:r>
              <w:rPr>
                <w:rFonts w:hint="eastAsia" w:ascii="宋体" w:hAnsi="宋体" w:eastAsia="宋体"/>
                <w:szCs w:val="21"/>
              </w:rPr>
              <w:t>资金来源：自筹资金。</w:t>
            </w:r>
          </w:p>
        </w:tc>
      </w:tr>
      <w:tr w14:paraId="59CC1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4F794AAD">
            <w:pPr>
              <w:spacing w:line="312" w:lineRule="auto"/>
              <w:jc w:val="center"/>
              <w:rPr>
                <w:rFonts w:ascii="宋体" w:hAnsi="宋体" w:eastAsia="宋体"/>
                <w:szCs w:val="21"/>
              </w:rPr>
            </w:pPr>
            <w:r>
              <w:rPr>
                <w:rFonts w:hint="eastAsia" w:ascii="宋体" w:hAnsi="宋体" w:eastAsia="宋体"/>
                <w:szCs w:val="21"/>
              </w:rPr>
              <w:t>2.4</w:t>
            </w:r>
          </w:p>
        </w:tc>
        <w:tc>
          <w:tcPr>
            <w:tcW w:w="8471" w:type="dxa"/>
            <w:vAlign w:val="center"/>
          </w:tcPr>
          <w:p w14:paraId="105C46C5">
            <w:pPr>
              <w:spacing w:line="312" w:lineRule="auto"/>
              <w:rPr>
                <w:rFonts w:ascii="宋体" w:hAnsi="宋体" w:eastAsia="宋体"/>
                <w:szCs w:val="21"/>
              </w:rPr>
            </w:pPr>
            <w:r>
              <w:rPr>
                <w:rFonts w:hint="eastAsia" w:ascii="宋体" w:hAnsi="宋体" w:eastAsia="宋体"/>
                <w:szCs w:val="21"/>
              </w:rPr>
              <w:t>采购代理机构：广东创富工程管理有限公司</w:t>
            </w:r>
          </w:p>
          <w:p w14:paraId="17AA4F8E">
            <w:pPr>
              <w:spacing w:line="312" w:lineRule="auto"/>
              <w:rPr>
                <w:rFonts w:ascii="宋体" w:hAnsi="宋体" w:eastAsia="宋体"/>
                <w:szCs w:val="21"/>
              </w:rPr>
            </w:pPr>
            <w:r>
              <w:rPr>
                <w:rFonts w:hint="eastAsia" w:ascii="宋体" w:hAnsi="宋体" w:eastAsia="宋体"/>
                <w:szCs w:val="21"/>
              </w:rPr>
              <w:t>地址：</w:t>
            </w:r>
            <w:r>
              <w:rPr>
                <w:rFonts w:hint="eastAsia" w:ascii="宋体" w:hAnsi="宋体" w:eastAsia="宋体"/>
              </w:rPr>
              <w:t>郁南县都城镇二环东路87号5楼</w:t>
            </w:r>
          </w:p>
          <w:p w14:paraId="3252CB61">
            <w:pPr>
              <w:spacing w:line="312" w:lineRule="auto"/>
              <w:rPr>
                <w:rFonts w:ascii="宋体" w:hAnsi="宋体" w:eastAsia="宋体"/>
                <w:szCs w:val="21"/>
              </w:rPr>
            </w:pPr>
            <w:r>
              <w:rPr>
                <w:rFonts w:hint="eastAsia" w:ascii="宋体" w:hAnsi="宋体" w:eastAsia="宋体"/>
                <w:szCs w:val="21"/>
              </w:rPr>
              <w:t>电话：0766-3900633     传真：0766-3900633</w:t>
            </w:r>
          </w:p>
        </w:tc>
      </w:tr>
      <w:tr w14:paraId="773346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13" w:type="dxa"/>
            <w:gridSpan w:val="2"/>
            <w:vAlign w:val="center"/>
          </w:tcPr>
          <w:p w14:paraId="70E8F7C5">
            <w:pPr>
              <w:spacing w:line="312" w:lineRule="auto"/>
              <w:jc w:val="center"/>
              <w:rPr>
                <w:rFonts w:ascii="宋体" w:hAnsi="宋体" w:eastAsia="宋体"/>
                <w:szCs w:val="21"/>
              </w:rPr>
            </w:pPr>
            <w:r>
              <w:rPr>
                <w:rFonts w:hint="eastAsia" w:ascii="宋体" w:hAnsi="宋体" w:eastAsia="宋体"/>
                <w:szCs w:val="21"/>
              </w:rPr>
              <w:t>二、竞争性磋商文件</w:t>
            </w:r>
          </w:p>
        </w:tc>
      </w:tr>
      <w:tr w14:paraId="026147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61EB5C3C">
            <w:pPr>
              <w:spacing w:line="312" w:lineRule="auto"/>
              <w:jc w:val="center"/>
              <w:rPr>
                <w:rFonts w:ascii="宋体" w:hAnsi="宋体" w:eastAsia="宋体"/>
                <w:szCs w:val="21"/>
              </w:rPr>
            </w:pPr>
            <w:r>
              <w:rPr>
                <w:rFonts w:hint="eastAsia" w:ascii="宋体" w:hAnsi="宋体" w:eastAsia="宋体"/>
                <w:szCs w:val="21"/>
              </w:rPr>
              <w:t>10.1</w:t>
            </w:r>
          </w:p>
        </w:tc>
        <w:tc>
          <w:tcPr>
            <w:tcW w:w="8471" w:type="dxa"/>
            <w:vAlign w:val="center"/>
          </w:tcPr>
          <w:p w14:paraId="233FC982">
            <w:pPr>
              <w:spacing w:line="312" w:lineRule="auto"/>
              <w:rPr>
                <w:rFonts w:ascii="宋体" w:hAnsi="宋体" w:eastAsia="宋体"/>
                <w:szCs w:val="21"/>
              </w:rPr>
            </w:pPr>
            <w:r>
              <w:rPr>
                <w:rFonts w:hint="eastAsia" w:ascii="宋体" w:hAnsi="宋体" w:eastAsia="宋体"/>
                <w:szCs w:val="21"/>
              </w:rPr>
              <w:t>集中答疑会或现场考察：不举行。</w:t>
            </w:r>
          </w:p>
        </w:tc>
      </w:tr>
      <w:tr w14:paraId="36AD3F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13" w:type="dxa"/>
            <w:gridSpan w:val="2"/>
            <w:vAlign w:val="center"/>
          </w:tcPr>
          <w:p w14:paraId="52EE848B">
            <w:pPr>
              <w:spacing w:line="312" w:lineRule="auto"/>
              <w:jc w:val="center"/>
              <w:rPr>
                <w:rFonts w:ascii="宋体" w:hAnsi="宋体" w:eastAsia="宋体"/>
                <w:szCs w:val="21"/>
              </w:rPr>
            </w:pPr>
            <w:r>
              <w:rPr>
                <w:rFonts w:hint="eastAsia" w:ascii="宋体" w:hAnsi="宋体" w:eastAsia="宋体"/>
                <w:szCs w:val="21"/>
              </w:rPr>
              <w:t>三、响应文件的编制</w:t>
            </w:r>
          </w:p>
        </w:tc>
      </w:tr>
      <w:tr w14:paraId="58021E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015FD235">
            <w:pPr>
              <w:spacing w:line="312" w:lineRule="auto"/>
              <w:jc w:val="center"/>
              <w:rPr>
                <w:rFonts w:ascii="宋体" w:hAnsi="宋体" w:eastAsia="宋体"/>
                <w:szCs w:val="21"/>
              </w:rPr>
            </w:pPr>
            <w:r>
              <w:rPr>
                <w:rFonts w:hint="eastAsia" w:ascii="宋体" w:hAnsi="宋体" w:eastAsia="宋体"/>
                <w:szCs w:val="21"/>
              </w:rPr>
              <w:t>14.3.1.3</w:t>
            </w:r>
          </w:p>
        </w:tc>
        <w:tc>
          <w:tcPr>
            <w:tcW w:w="8471" w:type="dxa"/>
            <w:vAlign w:val="center"/>
          </w:tcPr>
          <w:p w14:paraId="226AE257">
            <w:pPr>
              <w:spacing w:line="312" w:lineRule="auto"/>
              <w:rPr>
                <w:rFonts w:ascii="宋体" w:hAnsi="宋体" w:eastAsia="宋体"/>
                <w:szCs w:val="21"/>
              </w:rPr>
            </w:pPr>
            <w:r>
              <w:rPr>
                <w:rFonts w:hint="eastAsia" w:ascii="宋体" w:hAnsi="宋体" w:eastAsia="宋体"/>
                <w:szCs w:val="21"/>
              </w:rPr>
              <w:t>（境内货物）其他伴随的服务费用：运至最终目的地的内陆运输、保险、安装、调试、验收、培训及伴随货物交运的有关费用和标准附件价、备品备件及专用工具价。</w:t>
            </w:r>
          </w:p>
        </w:tc>
      </w:tr>
      <w:tr w14:paraId="6DF621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3E8F9C86">
            <w:pPr>
              <w:spacing w:line="312" w:lineRule="auto"/>
              <w:jc w:val="center"/>
              <w:rPr>
                <w:rFonts w:ascii="宋体" w:hAnsi="宋体" w:eastAsia="宋体"/>
                <w:szCs w:val="21"/>
              </w:rPr>
            </w:pPr>
            <w:r>
              <w:rPr>
                <w:rFonts w:hint="eastAsia" w:ascii="宋体" w:hAnsi="宋体" w:eastAsia="宋体"/>
                <w:szCs w:val="21"/>
              </w:rPr>
              <w:t>14.3.2.2</w:t>
            </w:r>
          </w:p>
        </w:tc>
        <w:tc>
          <w:tcPr>
            <w:tcW w:w="8471" w:type="dxa"/>
            <w:vAlign w:val="center"/>
          </w:tcPr>
          <w:p w14:paraId="62944470">
            <w:pPr>
              <w:pStyle w:val="56"/>
              <w:widowControl w:val="0"/>
              <w:autoSpaceDE w:val="0"/>
              <w:autoSpaceDN w:val="0"/>
              <w:adjustRightInd w:val="0"/>
              <w:spacing w:before="0" w:after="0" w:line="312" w:lineRule="auto"/>
              <w:rPr>
                <w:rFonts w:ascii="宋体" w:hAnsi="宋体" w:eastAsia="宋体"/>
                <w:sz w:val="21"/>
                <w:szCs w:val="21"/>
                <w:lang w:eastAsia="zh-CN"/>
              </w:rPr>
            </w:pPr>
            <w:r>
              <w:rPr>
                <w:rFonts w:ascii="宋体" w:hAnsi="宋体" w:eastAsia="宋体" w:cs="DVAPLS+ËÎÌå"/>
                <w:color w:val="000000"/>
                <w:sz w:val="21"/>
                <w:szCs w:val="21"/>
                <w:lang w:eastAsia="zh-CN"/>
              </w:rPr>
              <w:t>（境外货物）进口环节关税和增值税：无。</w:t>
            </w:r>
          </w:p>
        </w:tc>
      </w:tr>
      <w:tr w14:paraId="4F8557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7E36C7D4">
            <w:pPr>
              <w:spacing w:line="312" w:lineRule="auto"/>
              <w:jc w:val="center"/>
              <w:rPr>
                <w:rFonts w:ascii="宋体" w:hAnsi="宋体" w:eastAsia="宋体"/>
                <w:szCs w:val="21"/>
              </w:rPr>
            </w:pPr>
            <w:r>
              <w:rPr>
                <w:rFonts w:hint="eastAsia" w:ascii="宋体" w:hAnsi="宋体" w:eastAsia="宋体"/>
                <w:szCs w:val="21"/>
              </w:rPr>
              <w:t>14.3.2.4</w:t>
            </w:r>
          </w:p>
        </w:tc>
        <w:tc>
          <w:tcPr>
            <w:tcW w:w="8471" w:type="dxa"/>
            <w:vAlign w:val="center"/>
          </w:tcPr>
          <w:p w14:paraId="179D4227">
            <w:pPr>
              <w:spacing w:line="312" w:lineRule="auto"/>
              <w:rPr>
                <w:rFonts w:ascii="宋体" w:hAnsi="宋体" w:eastAsia="宋体"/>
                <w:szCs w:val="21"/>
              </w:rPr>
            </w:pPr>
            <w:r>
              <w:rPr>
                <w:rFonts w:hint="eastAsia" w:ascii="宋体" w:hAnsi="宋体" w:eastAsia="宋体"/>
                <w:szCs w:val="21"/>
              </w:rPr>
              <w:t>（境外货物）其他伴随的服务费用：无。</w:t>
            </w:r>
          </w:p>
        </w:tc>
      </w:tr>
      <w:tr w14:paraId="3735DB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6906D016">
            <w:pPr>
              <w:spacing w:line="312" w:lineRule="auto"/>
              <w:jc w:val="center"/>
              <w:rPr>
                <w:rFonts w:ascii="宋体" w:hAnsi="宋体" w:eastAsia="宋体"/>
                <w:szCs w:val="21"/>
              </w:rPr>
            </w:pPr>
            <w:r>
              <w:rPr>
                <w:rFonts w:hint="eastAsia" w:ascii="宋体" w:hAnsi="宋体" w:eastAsia="宋体"/>
                <w:szCs w:val="21"/>
              </w:rPr>
              <w:t>14.9</w:t>
            </w:r>
          </w:p>
        </w:tc>
        <w:tc>
          <w:tcPr>
            <w:tcW w:w="8471" w:type="dxa"/>
            <w:vAlign w:val="center"/>
          </w:tcPr>
          <w:p w14:paraId="4BA9CA7D">
            <w:pPr>
              <w:spacing w:line="312" w:lineRule="auto"/>
              <w:rPr>
                <w:rFonts w:ascii="宋体" w:hAnsi="宋体" w:eastAsia="宋体"/>
                <w:szCs w:val="21"/>
              </w:rPr>
            </w:pPr>
            <w:r>
              <w:rPr>
                <w:rFonts w:hint="eastAsia" w:ascii="宋体" w:hAnsi="宋体" w:eastAsia="宋体"/>
                <w:szCs w:val="21"/>
              </w:rPr>
              <w:t>响应供应商所报的投标价在合同执行过程中是固定不变的，不得以任何理由予以变更</w:t>
            </w:r>
          </w:p>
        </w:tc>
      </w:tr>
      <w:tr w14:paraId="48907F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6692C48B">
            <w:pPr>
              <w:spacing w:line="312" w:lineRule="auto"/>
              <w:jc w:val="center"/>
              <w:rPr>
                <w:rFonts w:ascii="宋体" w:hAnsi="宋体" w:eastAsia="宋体"/>
                <w:szCs w:val="21"/>
              </w:rPr>
            </w:pPr>
            <w:r>
              <w:rPr>
                <w:rFonts w:hint="eastAsia" w:ascii="宋体" w:hAnsi="宋体" w:eastAsia="宋体"/>
                <w:szCs w:val="21"/>
              </w:rPr>
              <w:t>14.10</w:t>
            </w:r>
          </w:p>
        </w:tc>
        <w:tc>
          <w:tcPr>
            <w:tcW w:w="8471" w:type="dxa"/>
            <w:vAlign w:val="center"/>
          </w:tcPr>
          <w:p w14:paraId="6988E846">
            <w:pPr>
              <w:spacing w:line="312" w:lineRule="auto"/>
              <w:rPr>
                <w:rFonts w:ascii="宋体" w:hAnsi="宋体" w:eastAsia="宋体"/>
                <w:szCs w:val="21"/>
              </w:rPr>
            </w:pPr>
            <w:r>
              <w:rPr>
                <w:rFonts w:hint="eastAsia" w:ascii="宋体" w:hAnsi="宋体" w:eastAsia="宋体"/>
                <w:szCs w:val="21"/>
              </w:rPr>
              <w:t>不允许有备选方案</w:t>
            </w:r>
          </w:p>
        </w:tc>
      </w:tr>
      <w:tr w14:paraId="1B5870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2A7B93D6">
            <w:pPr>
              <w:spacing w:line="312" w:lineRule="auto"/>
              <w:jc w:val="center"/>
              <w:rPr>
                <w:rFonts w:ascii="宋体" w:hAnsi="宋体" w:eastAsia="宋体"/>
                <w:szCs w:val="21"/>
              </w:rPr>
            </w:pPr>
            <w:r>
              <w:rPr>
                <w:rFonts w:hint="eastAsia" w:ascii="宋体" w:hAnsi="宋体" w:eastAsia="宋体"/>
                <w:szCs w:val="21"/>
              </w:rPr>
              <w:t>14.11</w:t>
            </w:r>
          </w:p>
        </w:tc>
        <w:tc>
          <w:tcPr>
            <w:tcW w:w="8471" w:type="dxa"/>
            <w:vAlign w:val="center"/>
          </w:tcPr>
          <w:p w14:paraId="1D0D13C0">
            <w:pPr>
              <w:spacing w:line="312" w:lineRule="auto"/>
              <w:rPr>
                <w:rFonts w:ascii="宋体" w:hAnsi="宋体" w:eastAsia="宋体"/>
                <w:szCs w:val="21"/>
              </w:rPr>
            </w:pPr>
            <w:r>
              <w:rPr>
                <w:rFonts w:hint="eastAsia" w:ascii="宋体" w:hAnsi="宋体" w:eastAsia="宋体"/>
                <w:szCs w:val="21"/>
              </w:rPr>
              <w:t>不允许附加条件报价</w:t>
            </w:r>
          </w:p>
        </w:tc>
      </w:tr>
      <w:tr w14:paraId="148461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77E8B062">
            <w:pPr>
              <w:spacing w:line="312" w:lineRule="auto"/>
              <w:jc w:val="center"/>
              <w:rPr>
                <w:rFonts w:ascii="宋体" w:hAnsi="宋体" w:eastAsia="宋体"/>
                <w:szCs w:val="21"/>
              </w:rPr>
            </w:pPr>
            <w:r>
              <w:rPr>
                <w:rFonts w:hint="eastAsia" w:ascii="宋体" w:hAnsi="宋体" w:eastAsia="宋体"/>
                <w:szCs w:val="21"/>
              </w:rPr>
              <w:t>19.1</w:t>
            </w:r>
          </w:p>
        </w:tc>
        <w:tc>
          <w:tcPr>
            <w:tcW w:w="8471" w:type="dxa"/>
            <w:vAlign w:val="center"/>
          </w:tcPr>
          <w:p w14:paraId="373AF907">
            <w:pPr>
              <w:spacing w:line="312"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投标保证金：根据云财采购〔2021〕33号《云浮市财政局关于进一步优化政府采购营商环境的通知》规定，本项目不收取投标保证金。</w:t>
            </w:r>
          </w:p>
        </w:tc>
      </w:tr>
      <w:tr w14:paraId="1A4DE5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5633783C">
            <w:pPr>
              <w:spacing w:line="312" w:lineRule="auto"/>
              <w:jc w:val="center"/>
              <w:rPr>
                <w:rFonts w:ascii="宋体" w:hAnsi="宋体" w:eastAsia="宋体"/>
                <w:szCs w:val="21"/>
              </w:rPr>
            </w:pPr>
            <w:r>
              <w:rPr>
                <w:rFonts w:hint="eastAsia" w:ascii="宋体" w:hAnsi="宋体" w:eastAsia="宋体"/>
                <w:szCs w:val="21"/>
              </w:rPr>
              <w:t>20.1</w:t>
            </w:r>
          </w:p>
        </w:tc>
        <w:tc>
          <w:tcPr>
            <w:tcW w:w="8471" w:type="dxa"/>
            <w:vAlign w:val="center"/>
          </w:tcPr>
          <w:p w14:paraId="7E31B057">
            <w:pPr>
              <w:spacing w:line="312" w:lineRule="auto"/>
              <w:rPr>
                <w:rFonts w:ascii="宋体" w:hAnsi="宋体" w:eastAsia="宋体"/>
                <w:szCs w:val="21"/>
              </w:rPr>
            </w:pPr>
            <w:r>
              <w:rPr>
                <w:rFonts w:hint="eastAsia" w:ascii="宋体" w:hAnsi="宋体" w:eastAsia="宋体"/>
                <w:szCs w:val="21"/>
              </w:rPr>
              <w:t>磋商有效期：90天。</w:t>
            </w:r>
          </w:p>
        </w:tc>
      </w:tr>
      <w:tr w14:paraId="51F668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32B14AF5">
            <w:pPr>
              <w:spacing w:line="312" w:lineRule="auto"/>
              <w:jc w:val="center"/>
              <w:rPr>
                <w:rFonts w:ascii="宋体" w:hAnsi="宋体" w:eastAsia="宋体"/>
                <w:szCs w:val="21"/>
              </w:rPr>
            </w:pPr>
            <w:r>
              <w:rPr>
                <w:rFonts w:hint="eastAsia" w:ascii="宋体" w:hAnsi="宋体" w:eastAsia="宋体"/>
                <w:szCs w:val="21"/>
              </w:rPr>
              <w:t>21.1</w:t>
            </w:r>
          </w:p>
        </w:tc>
        <w:tc>
          <w:tcPr>
            <w:tcW w:w="8471" w:type="dxa"/>
            <w:vAlign w:val="center"/>
          </w:tcPr>
          <w:p w14:paraId="462BF00F">
            <w:pPr>
              <w:spacing w:line="312" w:lineRule="auto"/>
              <w:rPr>
                <w:rFonts w:hint="eastAsia" w:ascii="宋体" w:hAnsi="宋体" w:eastAsia="宋体"/>
                <w:szCs w:val="21"/>
              </w:rPr>
            </w:pPr>
            <w:r>
              <w:rPr>
                <w:rFonts w:hint="eastAsia" w:ascii="宋体" w:hAnsi="宋体" w:eastAsia="宋体"/>
                <w:szCs w:val="21"/>
              </w:rPr>
              <w:t>响应文件份数：正本一份，副本二份</w:t>
            </w:r>
            <w:r>
              <w:rPr>
                <w:rFonts w:hint="eastAsia" w:ascii="宋体" w:hAnsi="宋体" w:eastAsia="宋体"/>
                <w:szCs w:val="21"/>
                <w:lang w:eastAsia="zh-CN"/>
              </w:rPr>
              <w:t>，电子文档一份（U盘或光盘、可编辑的 WORD格式文件以及按要求签署、盖章后的正本扫描PDF格式文件）</w:t>
            </w:r>
            <w:r>
              <w:rPr>
                <w:rFonts w:hint="eastAsia" w:ascii="宋体" w:hAnsi="宋体" w:eastAsia="宋体"/>
                <w:szCs w:val="21"/>
              </w:rPr>
              <w:t>。</w:t>
            </w:r>
          </w:p>
          <w:p w14:paraId="5398F262">
            <w:pPr>
              <w:spacing w:line="312" w:lineRule="auto"/>
              <w:rPr>
                <w:rFonts w:hint="eastAsia" w:ascii="宋体" w:hAnsi="宋体" w:eastAsia="宋体"/>
                <w:szCs w:val="21"/>
              </w:rPr>
            </w:pPr>
            <w:r>
              <w:rPr>
                <w:rFonts w:hint="eastAsia" w:ascii="宋体" w:hAnsi="宋体" w:eastAsia="宋体"/>
                <w:b/>
                <w:bCs/>
                <w:szCs w:val="21"/>
              </w:rPr>
              <w:t>注：如果未按要求提供的，作无效投标处理。</w:t>
            </w:r>
          </w:p>
        </w:tc>
      </w:tr>
      <w:tr w14:paraId="363F6F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13" w:type="dxa"/>
            <w:gridSpan w:val="2"/>
            <w:vAlign w:val="center"/>
          </w:tcPr>
          <w:p w14:paraId="3DE9717F">
            <w:pPr>
              <w:spacing w:line="312" w:lineRule="auto"/>
              <w:rPr>
                <w:rFonts w:ascii="宋体" w:hAnsi="宋体" w:eastAsia="宋体"/>
                <w:szCs w:val="21"/>
              </w:rPr>
            </w:pPr>
            <w:r>
              <w:rPr>
                <w:rFonts w:hint="eastAsia" w:ascii="宋体" w:hAnsi="宋体" w:eastAsia="宋体"/>
                <w:szCs w:val="21"/>
              </w:rPr>
              <w:t>四、响应文件的递交</w:t>
            </w:r>
          </w:p>
        </w:tc>
      </w:tr>
      <w:tr w14:paraId="2043DC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54F7F07D">
            <w:pPr>
              <w:spacing w:line="312" w:lineRule="auto"/>
              <w:jc w:val="center"/>
              <w:rPr>
                <w:rFonts w:ascii="宋体" w:hAnsi="宋体" w:eastAsia="宋体"/>
                <w:szCs w:val="21"/>
              </w:rPr>
            </w:pPr>
            <w:r>
              <w:rPr>
                <w:rFonts w:hint="eastAsia" w:ascii="宋体" w:hAnsi="宋体" w:eastAsia="宋体"/>
                <w:szCs w:val="21"/>
              </w:rPr>
              <w:t>23.1</w:t>
            </w:r>
          </w:p>
        </w:tc>
        <w:tc>
          <w:tcPr>
            <w:tcW w:w="8471" w:type="dxa"/>
            <w:vAlign w:val="center"/>
          </w:tcPr>
          <w:p w14:paraId="20919B37">
            <w:pPr>
              <w:spacing w:line="312" w:lineRule="auto"/>
              <w:rPr>
                <w:rFonts w:ascii="宋体" w:hAnsi="宋体" w:eastAsia="宋体"/>
                <w:szCs w:val="21"/>
              </w:rPr>
            </w:pPr>
            <w:r>
              <w:rPr>
                <w:rFonts w:hint="eastAsia" w:ascii="宋体" w:hAnsi="宋体" w:eastAsia="宋体"/>
                <w:szCs w:val="21"/>
              </w:rPr>
              <w:t>响应文件递交截止日期、时间和地点：按竞争性磋商文件第一章规定。</w:t>
            </w:r>
          </w:p>
        </w:tc>
      </w:tr>
      <w:tr w14:paraId="6FD84E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13" w:type="dxa"/>
            <w:gridSpan w:val="2"/>
            <w:vAlign w:val="center"/>
          </w:tcPr>
          <w:p w14:paraId="1F661395">
            <w:pPr>
              <w:spacing w:line="312" w:lineRule="auto"/>
              <w:rPr>
                <w:rFonts w:ascii="宋体" w:hAnsi="宋体" w:eastAsia="宋体"/>
                <w:szCs w:val="21"/>
              </w:rPr>
            </w:pPr>
            <w:r>
              <w:rPr>
                <w:rFonts w:hint="eastAsia" w:ascii="宋体" w:hAnsi="宋体" w:eastAsia="宋体"/>
                <w:szCs w:val="21"/>
              </w:rPr>
              <w:t>五、竞争性磋商流程</w:t>
            </w:r>
          </w:p>
        </w:tc>
      </w:tr>
      <w:tr w14:paraId="1F5C54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64F3675E">
            <w:pPr>
              <w:spacing w:line="312" w:lineRule="auto"/>
              <w:jc w:val="center"/>
              <w:rPr>
                <w:rFonts w:ascii="宋体" w:hAnsi="宋体" w:eastAsia="宋体"/>
                <w:szCs w:val="21"/>
              </w:rPr>
            </w:pPr>
            <w:r>
              <w:rPr>
                <w:rFonts w:hint="eastAsia" w:ascii="宋体" w:hAnsi="宋体" w:eastAsia="宋体"/>
                <w:szCs w:val="21"/>
              </w:rPr>
              <w:t>26.1</w:t>
            </w:r>
          </w:p>
        </w:tc>
        <w:tc>
          <w:tcPr>
            <w:tcW w:w="8471" w:type="dxa"/>
            <w:vAlign w:val="center"/>
          </w:tcPr>
          <w:p w14:paraId="2E5BB9D8">
            <w:pPr>
              <w:spacing w:line="312" w:lineRule="auto"/>
              <w:rPr>
                <w:rFonts w:ascii="宋体" w:hAnsi="宋体" w:eastAsia="宋体"/>
                <w:szCs w:val="21"/>
              </w:rPr>
            </w:pPr>
            <w:r>
              <w:rPr>
                <w:rFonts w:hint="eastAsia" w:ascii="宋体" w:hAnsi="宋体" w:eastAsia="宋体"/>
                <w:szCs w:val="21"/>
              </w:rPr>
              <w:t>磋商小组由3名单数组成，由1名采购人的代表和2名具有广东省政府采购评审专家库资格的专家随机组成或3名具有广东省政府采购评审专家库资格的专家随机组成。</w:t>
            </w:r>
          </w:p>
        </w:tc>
      </w:tr>
      <w:tr w14:paraId="2AA1F9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4FEABA75">
            <w:pPr>
              <w:spacing w:line="312" w:lineRule="auto"/>
              <w:jc w:val="center"/>
              <w:rPr>
                <w:rFonts w:ascii="宋体" w:hAnsi="宋体" w:eastAsia="宋体"/>
                <w:szCs w:val="21"/>
              </w:rPr>
            </w:pPr>
            <w:r>
              <w:rPr>
                <w:rFonts w:hint="eastAsia" w:ascii="宋体" w:hAnsi="宋体" w:eastAsia="宋体"/>
                <w:szCs w:val="21"/>
              </w:rPr>
              <w:t>28.1</w:t>
            </w:r>
          </w:p>
        </w:tc>
        <w:tc>
          <w:tcPr>
            <w:tcW w:w="8471" w:type="dxa"/>
            <w:vAlign w:val="center"/>
          </w:tcPr>
          <w:p w14:paraId="4608ADD4">
            <w:pPr>
              <w:spacing w:line="312" w:lineRule="auto"/>
              <w:rPr>
                <w:rFonts w:ascii="宋体" w:hAnsi="宋体" w:eastAsia="宋体"/>
                <w:szCs w:val="21"/>
              </w:rPr>
            </w:pPr>
            <w:r>
              <w:rPr>
                <w:rFonts w:hint="eastAsia" w:ascii="宋体" w:hAnsi="宋体" w:eastAsia="宋体"/>
                <w:szCs w:val="21"/>
              </w:rPr>
              <w:t>评标方法：经磋商确定最终采购需求和提交最后报价的供应商后，由磋商小组采用综合</w:t>
            </w:r>
          </w:p>
          <w:p w14:paraId="1A35169F">
            <w:pPr>
              <w:spacing w:line="312" w:lineRule="auto"/>
              <w:rPr>
                <w:rFonts w:ascii="宋体" w:hAnsi="宋体" w:eastAsia="宋体"/>
                <w:szCs w:val="21"/>
              </w:rPr>
            </w:pPr>
            <w:r>
              <w:rPr>
                <w:rFonts w:hint="eastAsia" w:ascii="宋体" w:hAnsi="宋体" w:eastAsia="宋体"/>
                <w:szCs w:val="21"/>
              </w:rPr>
              <w:t>评分法对提交最后报价的供应商的响应文件和最后报价进行综合评分。</w:t>
            </w:r>
          </w:p>
        </w:tc>
      </w:tr>
      <w:tr w14:paraId="1D5832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692000BB">
            <w:pPr>
              <w:spacing w:line="312" w:lineRule="auto"/>
              <w:jc w:val="center"/>
              <w:rPr>
                <w:rFonts w:ascii="宋体" w:hAnsi="宋体" w:eastAsia="宋体"/>
                <w:szCs w:val="21"/>
              </w:rPr>
            </w:pPr>
            <w:r>
              <w:rPr>
                <w:rFonts w:hint="eastAsia" w:ascii="宋体" w:hAnsi="宋体" w:eastAsia="宋体"/>
                <w:szCs w:val="21"/>
              </w:rPr>
              <w:t>28.2</w:t>
            </w:r>
          </w:p>
        </w:tc>
        <w:tc>
          <w:tcPr>
            <w:tcW w:w="8471" w:type="dxa"/>
            <w:vAlign w:val="center"/>
          </w:tcPr>
          <w:p w14:paraId="5338CCC6">
            <w:pPr>
              <w:spacing w:line="312" w:lineRule="auto"/>
              <w:rPr>
                <w:rFonts w:ascii="宋体" w:hAnsi="宋体" w:eastAsia="宋体"/>
                <w:szCs w:val="21"/>
              </w:rPr>
            </w:pPr>
            <w:r>
              <w:rPr>
                <w:rFonts w:hint="eastAsia" w:ascii="宋体" w:hAnsi="宋体" w:eastAsia="宋体"/>
                <w:szCs w:val="21"/>
              </w:rPr>
              <w:t>根据综合评分情况按照评审得分由高到低推荐三名成交候选人。</w:t>
            </w:r>
          </w:p>
        </w:tc>
      </w:tr>
      <w:tr w14:paraId="4E0E0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13" w:type="dxa"/>
            <w:gridSpan w:val="2"/>
            <w:vAlign w:val="center"/>
          </w:tcPr>
          <w:p w14:paraId="13DE5978">
            <w:pPr>
              <w:spacing w:line="312" w:lineRule="auto"/>
              <w:rPr>
                <w:rFonts w:ascii="宋体" w:hAnsi="宋体" w:eastAsia="宋体"/>
                <w:szCs w:val="21"/>
              </w:rPr>
            </w:pPr>
            <w:r>
              <w:rPr>
                <w:rFonts w:hint="eastAsia" w:ascii="宋体" w:hAnsi="宋体" w:eastAsia="宋体"/>
                <w:szCs w:val="21"/>
              </w:rPr>
              <w:t>六、授予合同</w:t>
            </w:r>
          </w:p>
        </w:tc>
      </w:tr>
      <w:tr w14:paraId="2E738E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42A32FA0">
            <w:pPr>
              <w:spacing w:line="312" w:lineRule="auto"/>
              <w:jc w:val="center"/>
              <w:rPr>
                <w:rFonts w:ascii="宋体" w:hAnsi="宋体" w:eastAsia="宋体"/>
                <w:szCs w:val="21"/>
              </w:rPr>
            </w:pPr>
            <w:r>
              <w:rPr>
                <w:rFonts w:hint="eastAsia" w:ascii="宋体" w:hAnsi="宋体" w:eastAsia="宋体"/>
                <w:szCs w:val="21"/>
              </w:rPr>
              <w:t>31.1</w:t>
            </w:r>
          </w:p>
        </w:tc>
        <w:tc>
          <w:tcPr>
            <w:tcW w:w="8471" w:type="dxa"/>
            <w:vAlign w:val="center"/>
          </w:tcPr>
          <w:p w14:paraId="5917364E">
            <w:pPr>
              <w:spacing w:line="312" w:lineRule="auto"/>
              <w:rPr>
                <w:rFonts w:ascii="宋体" w:hAnsi="宋体" w:eastAsia="宋体"/>
                <w:szCs w:val="21"/>
              </w:rPr>
            </w:pPr>
            <w:r>
              <w:rPr>
                <w:rFonts w:hint="eastAsia" w:ascii="宋体" w:hAnsi="宋体" w:eastAsia="宋体"/>
                <w:szCs w:val="21"/>
              </w:rPr>
              <w:t>合同签订时间：自《成交通知书》发出之日起三十日内</w:t>
            </w:r>
          </w:p>
        </w:tc>
      </w:tr>
      <w:tr w14:paraId="51E308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2" w:type="dxa"/>
            <w:vAlign w:val="center"/>
          </w:tcPr>
          <w:p w14:paraId="52B443EE">
            <w:pPr>
              <w:spacing w:line="312" w:lineRule="auto"/>
              <w:jc w:val="center"/>
              <w:rPr>
                <w:rFonts w:ascii="宋体" w:hAnsi="宋体" w:eastAsia="宋体"/>
                <w:szCs w:val="21"/>
              </w:rPr>
            </w:pPr>
            <w:r>
              <w:rPr>
                <w:rFonts w:hint="eastAsia" w:ascii="宋体" w:hAnsi="宋体" w:eastAsia="宋体"/>
                <w:szCs w:val="21"/>
              </w:rPr>
              <w:t>33.1</w:t>
            </w:r>
          </w:p>
        </w:tc>
        <w:tc>
          <w:tcPr>
            <w:tcW w:w="8471" w:type="dxa"/>
            <w:vAlign w:val="center"/>
          </w:tcPr>
          <w:p w14:paraId="206A007E">
            <w:pPr>
              <w:spacing w:line="312" w:lineRule="auto"/>
              <w:rPr>
                <w:rFonts w:ascii="宋体" w:hAnsi="宋体" w:eastAsia="宋体"/>
                <w:szCs w:val="21"/>
              </w:rPr>
            </w:pPr>
            <w:r>
              <w:rPr>
                <w:rFonts w:hint="eastAsia" w:ascii="宋体" w:hAnsi="宋体" w:eastAsia="宋体"/>
                <w:szCs w:val="21"/>
              </w:rPr>
              <w:t>履约保证金：无</w:t>
            </w:r>
          </w:p>
        </w:tc>
      </w:tr>
      <w:tr w14:paraId="79CC19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96" w:hRule="atLeast"/>
          <w:jc w:val="center"/>
        </w:trPr>
        <w:tc>
          <w:tcPr>
            <w:tcW w:w="1242" w:type="dxa"/>
            <w:vAlign w:val="center"/>
          </w:tcPr>
          <w:p w14:paraId="1D30CBB8">
            <w:pPr>
              <w:spacing w:line="312" w:lineRule="auto"/>
              <w:jc w:val="center"/>
              <w:rPr>
                <w:rFonts w:ascii="宋体" w:hAnsi="宋体" w:eastAsia="宋体"/>
                <w:szCs w:val="21"/>
              </w:rPr>
            </w:pPr>
            <w:r>
              <w:rPr>
                <w:rFonts w:hint="eastAsia" w:ascii="宋体" w:hAnsi="宋体" w:eastAsia="宋体"/>
                <w:szCs w:val="21"/>
              </w:rPr>
              <w:t>34.1</w:t>
            </w:r>
          </w:p>
        </w:tc>
        <w:tc>
          <w:tcPr>
            <w:tcW w:w="8471" w:type="dxa"/>
            <w:vAlign w:val="center"/>
          </w:tcPr>
          <w:p w14:paraId="40235E0E">
            <w:pPr>
              <w:spacing w:line="312" w:lineRule="auto"/>
              <w:rPr>
                <w:rFonts w:ascii="宋体" w:hAnsi="宋体" w:eastAsia="宋体"/>
                <w:szCs w:val="21"/>
              </w:rPr>
            </w:pPr>
            <w:r>
              <w:rPr>
                <w:rFonts w:hint="eastAsia" w:ascii="宋体" w:hAnsi="宋体" w:eastAsia="宋体"/>
                <w:szCs w:val="21"/>
              </w:rPr>
              <w:t>1. 以成交通知书中各包组成交金额作为招标代理服务费的计算基数。</w:t>
            </w:r>
          </w:p>
          <w:p w14:paraId="027A6ABC">
            <w:pPr>
              <w:spacing w:line="312" w:lineRule="auto"/>
              <w:ind w:firstLine="420" w:firstLineChars="200"/>
              <w:rPr>
                <w:rFonts w:ascii="宋体" w:hAnsi="宋体" w:eastAsia="宋体"/>
                <w:szCs w:val="21"/>
              </w:rPr>
            </w:pPr>
            <w:r>
              <w:rPr>
                <w:rFonts w:hint="eastAsia" w:ascii="宋体" w:hAnsi="宋体" w:eastAsia="宋体"/>
                <w:szCs w:val="21"/>
              </w:rPr>
              <w:t>（1）招标代理服务费收费采用差额定率累进法计算方式。按中华人民共和国国家发展</w:t>
            </w:r>
          </w:p>
          <w:p w14:paraId="3F2D132B">
            <w:pPr>
              <w:spacing w:line="312" w:lineRule="auto"/>
              <w:rPr>
                <w:rFonts w:ascii="宋体" w:hAnsi="宋体" w:eastAsia="宋体"/>
                <w:szCs w:val="21"/>
              </w:rPr>
            </w:pPr>
            <w:r>
              <w:rPr>
                <w:rFonts w:hint="eastAsia" w:ascii="宋体" w:hAnsi="宋体" w:eastAsia="宋体"/>
                <w:szCs w:val="21"/>
              </w:rPr>
              <w:t>计划委员会颁发的计价格</w:t>
            </w:r>
            <w:r>
              <w:rPr>
                <w:rFonts w:ascii="宋体" w:hAnsi="宋体" w:eastAsia="宋体"/>
                <w:szCs w:val="21"/>
              </w:rPr>
              <w:t>[2002]1980</w:t>
            </w:r>
            <w:r>
              <w:rPr>
                <w:rFonts w:hint="eastAsia" w:ascii="宋体" w:hAnsi="宋体" w:eastAsia="宋体"/>
                <w:szCs w:val="21"/>
              </w:rPr>
              <w:t>号、国家发改委</w:t>
            </w:r>
            <w:r>
              <w:rPr>
                <w:rFonts w:ascii="宋体" w:hAnsi="宋体" w:eastAsia="宋体"/>
                <w:szCs w:val="21"/>
              </w:rPr>
              <w:t>[2003]857</w:t>
            </w:r>
            <w:r>
              <w:rPr>
                <w:rFonts w:hint="eastAsia" w:ascii="宋体" w:hAnsi="宋体" w:eastAsia="宋体"/>
                <w:szCs w:val="21"/>
              </w:rPr>
              <w:t>号及发改价格【</w:t>
            </w:r>
            <w:r>
              <w:rPr>
                <w:rFonts w:ascii="宋体" w:hAnsi="宋体" w:eastAsia="宋体"/>
                <w:szCs w:val="21"/>
              </w:rPr>
              <w:t>2011</w:t>
            </w:r>
            <w:r>
              <w:rPr>
                <w:rFonts w:hint="eastAsia" w:ascii="宋体" w:hAnsi="宋体" w:eastAsia="宋体"/>
                <w:szCs w:val="21"/>
              </w:rPr>
              <w:t>】</w:t>
            </w:r>
            <w:r>
              <w:rPr>
                <w:rFonts w:ascii="宋体" w:hAnsi="宋体" w:eastAsia="宋体"/>
                <w:szCs w:val="21"/>
              </w:rPr>
              <w:t>534</w:t>
            </w:r>
            <w:r>
              <w:rPr>
                <w:rFonts w:hint="eastAsia" w:ascii="宋体" w:hAnsi="宋体" w:eastAsia="宋体"/>
                <w:szCs w:val="21"/>
              </w:rPr>
              <w:t>号文规定的“服务类”计算后</w:t>
            </w:r>
            <w:r>
              <w:rPr>
                <w:rFonts w:hint="eastAsia" w:ascii="宋体" w:hAnsi="宋体" w:eastAsia="宋体"/>
                <w:color w:val="000000" w:themeColor="text1"/>
                <w:szCs w:val="21"/>
                <w14:textFill>
                  <w14:solidFill>
                    <w14:schemeClr w14:val="tx1"/>
                  </w14:solidFill>
                </w14:textFill>
              </w:rPr>
              <w:t>下浮</w:t>
            </w:r>
            <w:r>
              <w:rPr>
                <w:rFonts w:hint="eastAsia" w:ascii="宋体" w:hAnsi="宋体" w:eastAsia="宋体"/>
                <w:color w:val="000000" w:themeColor="text1"/>
                <w:szCs w:val="21"/>
                <w:lang w:val="en-US" w:eastAsia="zh-CN"/>
                <w14:textFill>
                  <w14:solidFill>
                    <w14:schemeClr w14:val="tx1"/>
                  </w14:solidFill>
                </w14:textFill>
              </w:rPr>
              <w:t>45</w:t>
            </w:r>
            <w:r>
              <w:rPr>
                <w:rFonts w:hint="eastAsia" w:ascii="宋体" w:hAnsi="宋体" w:eastAsia="宋体"/>
                <w:color w:val="000000" w:themeColor="text1"/>
                <w:szCs w:val="21"/>
                <w14:textFill>
                  <w14:solidFill>
                    <w14:schemeClr w14:val="tx1"/>
                  </w14:solidFill>
                </w14:textFill>
              </w:rPr>
              <w:t>%。</w:t>
            </w:r>
          </w:p>
          <w:p w14:paraId="02329209">
            <w:pPr>
              <w:spacing w:line="312" w:lineRule="auto"/>
              <w:ind w:firstLine="420" w:firstLineChars="200"/>
              <w:rPr>
                <w:rFonts w:ascii="宋体" w:hAnsi="宋体" w:eastAsia="宋体"/>
                <w:szCs w:val="21"/>
              </w:rPr>
            </w:pPr>
            <w:r>
              <w:rPr>
                <w:rFonts w:hint="eastAsia" w:ascii="宋体" w:hAnsi="宋体" w:eastAsia="宋体"/>
                <w:szCs w:val="21"/>
              </w:rPr>
              <w:t>（2）招标代理服务费的缴纳形式：</w:t>
            </w:r>
          </w:p>
          <w:p w14:paraId="016F54EC">
            <w:pPr>
              <w:spacing w:line="312" w:lineRule="auto"/>
              <w:rPr>
                <w:rFonts w:ascii="宋体" w:hAnsi="宋体" w:eastAsia="宋体"/>
                <w:szCs w:val="21"/>
              </w:rPr>
            </w:pPr>
            <w:r>
              <w:rPr>
                <w:rFonts w:hint="eastAsia" w:ascii="宋体" w:hAnsi="宋体" w:eastAsia="宋体"/>
                <w:szCs w:val="21"/>
              </w:rPr>
              <w:t>a. 向政府采购代理机构直接缴纳招标代理服务费。可用现金、汇票、电汇等付款方式；</w:t>
            </w:r>
          </w:p>
          <w:p w14:paraId="109321BF">
            <w:pPr>
              <w:spacing w:line="312" w:lineRule="auto"/>
              <w:rPr>
                <w:rFonts w:ascii="宋体" w:hAnsi="宋体" w:eastAsia="宋体"/>
                <w:szCs w:val="21"/>
              </w:rPr>
            </w:pPr>
            <w:r>
              <w:rPr>
                <w:rFonts w:hint="eastAsia" w:ascii="宋体" w:hAnsi="宋体" w:eastAsia="宋体"/>
                <w:szCs w:val="21"/>
              </w:rPr>
              <w:t>b. 招标代理服务费付至：</w:t>
            </w:r>
          </w:p>
          <w:p w14:paraId="54B9D5C1">
            <w:pPr>
              <w:spacing w:line="312" w:lineRule="auto"/>
              <w:ind w:firstLine="420" w:firstLineChars="200"/>
              <w:rPr>
                <w:rFonts w:ascii="宋体" w:hAnsi="宋体" w:eastAsia="宋体"/>
                <w:szCs w:val="21"/>
              </w:rPr>
            </w:pPr>
            <w:r>
              <w:rPr>
                <w:rFonts w:hint="eastAsia" w:ascii="宋体" w:hAnsi="宋体" w:eastAsia="宋体"/>
                <w:szCs w:val="21"/>
              </w:rPr>
              <w:t>收款单位名称：广东创富工程管理有限公司</w:t>
            </w:r>
          </w:p>
          <w:p w14:paraId="75D9DCC7">
            <w:pPr>
              <w:spacing w:line="312" w:lineRule="auto"/>
              <w:ind w:firstLine="420" w:firstLineChars="200"/>
              <w:rPr>
                <w:rFonts w:ascii="宋体" w:hAnsi="宋体" w:eastAsia="宋体"/>
                <w:szCs w:val="21"/>
              </w:rPr>
            </w:pPr>
            <w:r>
              <w:rPr>
                <w:rFonts w:hint="eastAsia" w:ascii="宋体" w:hAnsi="宋体" w:eastAsia="宋体"/>
                <w:szCs w:val="21"/>
              </w:rPr>
              <w:t>账    号：</w:t>
            </w:r>
            <w:r>
              <w:rPr>
                <w:rFonts w:hint="eastAsia" w:ascii="宋体" w:hAnsi="宋体"/>
                <w:szCs w:val="21"/>
              </w:rPr>
              <w:t>44050182723000001090</w:t>
            </w:r>
          </w:p>
          <w:p w14:paraId="5336C10D">
            <w:pPr>
              <w:spacing w:line="312" w:lineRule="auto"/>
              <w:ind w:firstLine="420" w:firstLineChars="200"/>
              <w:rPr>
                <w:rFonts w:ascii="宋体" w:hAnsi="宋体" w:eastAsia="宋体"/>
                <w:szCs w:val="21"/>
              </w:rPr>
            </w:pPr>
            <w:r>
              <w:rPr>
                <w:rFonts w:hint="eastAsia" w:ascii="宋体" w:hAnsi="宋体" w:eastAsia="宋体"/>
                <w:szCs w:val="21"/>
              </w:rPr>
              <w:t>开户银行：</w:t>
            </w:r>
            <w:r>
              <w:rPr>
                <w:rFonts w:hint="eastAsia" w:ascii="宋体" w:hAnsi="宋体"/>
                <w:szCs w:val="21"/>
              </w:rPr>
              <w:t>中国建设银行股份有限公司罗定支行</w:t>
            </w:r>
          </w:p>
          <w:p w14:paraId="63CA7814">
            <w:pPr>
              <w:spacing w:line="312" w:lineRule="auto"/>
              <w:rPr>
                <w:rFonts w:ascii="宋体" w:hAnsi="宋体" w:eastAsia="宋体"/>
                <w:szCs w:val="21"/>
              </w:rPr>
            </w:pPr>
            <w:r>
              <w:rPr>
                <w:rFonts w:hint="eastAsia" w:ascii="宋体" w:hAnsi="宋体" w:eastAsia="宋体"/>
                <w:szCs w:val="21"/>
              </w:rPr>
              <w:t>2. 响应供应商应签署第六章所附格式的招标代理服务费承诺书，作为响应文件的一部分。</w:t>
            </w:r>
          </w:p>
          <w:p w14:paraId="02914F1D">
            <w:pPr>
              <w:spacing w:line="312" w:lineRule="auto"/>
              <w:rPr>
                <w:rFonts w:ascii="宋体" w:hAnsi="宋体" w:eastAsia="宋体"/>
                <w:szCs w:val="21"/>
              </w:rPr>
            </w:pPr>
            <w:r>
              <w:rPr>
                <w:rFonts w:hint="eastAsia" w:ascii="宋体" w:hAnsi="宋体" w:eastAsia="宋体"/>
                <w:szCs w:val="21"/>
              </w:rPr>
              <w:t>3. 成交供应商须向采购代理机构交纳招标代理服务费后，凭领取人身份证复印件并加</w:t>
            </w:r>
          </w:p>
          <w:p w14:paraId="18C58D17">
            <w:pPr>
              <w:spacing w:line="312" w:lineRule="auto"/>
              <w:rPr>
                <w:rFonts w:ascii="宋体" w:hAnsi="宋体" w:eastAsia="宋体"/>
                <w:szCs w:val="21"/>
              </w:rPr>
            </w:pPr>
            <w:r>
              <w:rPr>
                <w:rFonts w:hint="eastAsia" w:ascii="宋体" w:hAnsi="宋体" w:eastAsia="宋体"/>
                <w:szCs w:val="21"/>
              </w:rPr>
              <w:t>盖公章领取《成交通知书》。如采用电汇或银行转账，须同时递交招标代理服务费缴费凭证复印件并加盖公章。</w:t>
            </w:r>
          </w:p>
        </w:tc>
      </w:tr>
    </w:tbl>
    <w:p w14:paraId="2095A519">
      <w:pPr>
        <w:spacing w:line="312" w:lineRule="auto"/>
        <w:rPr>
          <w:rFonts w:ascii="宋体" w:hAnsi="宋体" w:eastAsia="宋体"/>
          <w:szCs w:val="21"/>
        </w:rPr>
      </w:pPr>
    </w:p>
    <w:p w14:paraId="5DBB932B">
      <w:pPr>
        <w:spacing w:line="312" w:lineRule="auto"/>
        <w:rPr>
          <w:rFonts w:ascii="宋体" w:hAnsi="宋体" w:eastAsia="宋体"/>
          <w:szCs w:val="21"/>
        </w:rPr>
      </w:pPr>
    </w:p>
    <w:p w14:paraId="30E49588">
      <w:pPr>
        <w:spacing w:line="312" w:lineRule="auto"/>
        <w:rPr>
          <w:rFonts w:ascii="宋体" w:hAnsi="宋体" w:eastAsia="宋体"/>
          <w:szCs w:val="21"/>
        </w:rPr>
      </w:pPr>
    </w:p>
    <w:p w14:paraId="2D64A75E">
      <w:pPr>
        <w:spacing w:line="312" w:lineRule="auto"/>
        <w:rPr>
          <w:rFonts w:ascii="宋体" w:hAnsi="宋体" w:eastAsia="宋体"/>
          <w:szCs w:val="21"/>
        </w:rPr>
      </w:pPr>
    </w:p>
    <w:p w14:paraId="6DD4E180">
      <w:pPr>
        <w:spacing w:line="312" w:lineRule="auto"/>
        <w:rPr>
          <w:rFonts w:ascii="宋体" w:hAnsi="宋体" w:eastAsia="宋体"/>
          <w:szCs w:val="21"/>
        </w:rPr>
      </w:pPr>
    </w:p>
    <w:p w14:paraId="6B363E1D">
      <w:pPr>
        <w:spacing w:line="312" w:lineRule="auto"/>
        <w:rPr>
          <w:rFonts w:ascii="宋体" w:hAnsi="宋体" w:eastAsia="宋体"/>
          <w:szCs w:val="21"/>
        </w:rPr>
      </w:pPr>
    </w:p>
    <w:p w14:paraId="2F33FEC4">
      <w:pPr>
        <w:spacing w:line="312" w:lineRule="auto"/>
        <w:rPr>
          <w:rFonts w:ascii="宋体" w:hAnsi="宋体" w:eastAsia="宋体"/>
          <w:szCs w:val="21"/>
        </w:rPr>
      </w:pPr>
    </w:p>
    <w:p w14:paraId="60360D7E">
      <w:pPr>
        <w:spacing w:line="312" w:lineRule="auto"/>
        <w:rPr>
          <w:rFonts w:ascii="宋体" w:hAnsi="宋体" w:eastAsia="宋体"/>
          <w:szCs w:val="21"/>
        </w:rPr>
      </w:pPr>
    </w:p>
    <w:p w14:paraId="3B9E0758">
      <w:pPr>
        <w:spacing w:line="312" w:lineRule="auto"/>
        <w:rPr>
          <w:rFonts w:ascii="宋体" w:hAnsi="宋体" w:eastAsia="宋体"/>
          <w:szCs w:val="21"/>
        </w:rPr>
      </w:pPr>
    </w:p>
    <w:p w14:paraId="7F261054">
      <w:pPr>
        <w:pStyle w:val="52"/>
      </w:pPr>
    </w:p>
    <w:p w14:paraId="598F1BEE">
      <w:pPr>
        <w:spacing w:line="312" w:lineRule="auto"/>
        <w:rPr>
          <w:rFonts w:ascii="宋体" w:hAnsi="宋体" w:eastAsia="宋体"/>
          <w:szCs w:val="21"/>
        </w:rPr>
      </w:pPr>
    </w:p>
    <w:p w14:paraId="53484D50">
      <w:pPr>
        <w:spacing w:line="312" w:lineRule="auto"/>
        <w:rPr>
          <w:rFonts w:ascii="宋体" w:hAnsi="宋体" w:eastAsia="宋体"/>
          <w:szCs w:val="21"/>
        </w:rPr>
      </w:pPr>
    </w:p>
    <w:p w14:paraId="628F8350">
      <w:pPr>
        <w:pStyle w:val="2"/>
        <w:adjustRightInd w:val="0"/>
        <w:snapToGrid w:val="0"/>
        <w:spacing w:line="240" w:lineRule="auto"/>
        <w:rPr>
          <w:rFonts w:ascii="宋体" w:hAnsi="宋体" w:eastAsia="宋体"/>
          <w:color w:val="000000" w:themeColor="text1"/>
          <w14:textFill>
            <w14:solidFill>
              <w14:schemeClr w14:val="tx1"/>
            </w14:solidFill>
          </w14:textFill>
        </w:rPr>
      </w:pPr>
      <w:bookmarkStart w:id="2" w:name="_Toc152927342"/>
      <w:r>
        <w:rPr>
          <w:rFonts w:hint="eastAsia" w:ascii="宋体" w:hAnsi="宋体" w:eastAsia="宋体"/>
          <w:color w:val="000000" w:themeColor="text1"/>
          <w14:textFill>
            <w14:solidFill>
              <w14:schemeClr w14:val="tx1"/>
            </w14:solidFill>
          </w14:textFill>
        </w:rPr>
        <w:t>第三章 用户需求书</w:t>
      </w:r>
      <w:bookmarkEnd w:id="2"/>
    </w:p>
    <w:p w14:paraId="3F6C1225">
      <w:pPr>
        <w:adjustRightInd w:val="0"/>
        <w:snapToGrid w:val="0"/>
        <w:ind w:firstLine="420" w:firstLineChars="200"/>
        <w:rPr>
          <w:rFonts w:ascii="宋体" w:hAnsi="宋体" w:eastAsia="宋体"/>
        </w:rPr>
      </w:pPr>
      <w:r>
        <w:rPr>
          <w:rFonts w:hint="eastAsia" w:ascii="宋体" w:hAnsi="宋体" w:eastAsia="宋体"/>
        </w:rPr>
        <w:t>1. 响应供应商须对本项目的货物及服务进行整体响应，任何只对其中一部分内容进行的响应都被视为无效投标。</w:t>
      </w:r>
    </w:p>
    <w:p w14:paraId="25CDB8F7">
      <w:pPr>
        <w:adjustRightInd w:val="0"/>
        <w:snapToGrid w:val="0"/>
        <w:ind w:firstLine="420" w:firstLineChars="200"/>
        <w:rPr>
          <w:rFonts w:ascii="宋体" w:hAnsi="宋体" w:eastAsia="宋体"/>
        </w:rPr>
      </w:pPr>
      <w:r>
        <w:rPr>
          <w:rFonts w:hint="eastAsia" w:ascii="宋体" w:hAnsi="宋体" w:eastAsia="宋体"/>
        </w:rPr>
        <w:t>2. 用户需求书中打“★”号条款为实质性条款，响应供应商如有任何一条负偏离则导致投标无效。</w:t>
      </w:r>
    </w:p>
    <w:p w14:paraId="54A34A45">
      <w:pPr>
        <w:snapToGrid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采购需求书</w:t>
      </w:r>
    </w:p>
    <w:p w14:paraId="6DE7CFD7">
      <w:pPr>
        <w:keepNext w:val="0"/>
        <w:keepLines w:val="0"/>
        <w:pageBreakBefore w:val="0"/>
        <w:numPr>
          <w:ilvl w:val="0"/>
          <w:numId w:val="1"/>
        </w:numPr>
        <w:kinsoku/>
        <w:wordWrap/>
        <w:overflowPunct/>
        <w:topLinePunct w:val="0"/>
        <w:autoSpaceDE/>
        <w:autoSpaceDN/>
        <w:bidi w:val="0"/>
        <w:adjustRightInd/>
        <w:spacing w:line="360" w:lineRule="auto"/>
        <w:ind w:left="221" w:leftChars="0" w:hanging="221" w:hangingChars="100"/>
        <w:textAlignment w:val="auto"/>
        <w:rPr>
          <w:rFonts w:hint="eastAsia" w:asciiTheme="minorEastAsia" w:hAnsiTheme="minorEastAsia" w:eastAsiaTheme="minorEastAsia" w:cstheme="minorEastAsia"/>
          <w:b/>
          <w:bCs/>
          <w:color w:val="auto"/>
          <w:sz w:val="22"/>
          <w:szCs w:val="22"/>
          <w:highlight w:val="none"/>
          <w:lang w:val="en-US" w:eastAsia="en-US"/>
        </w:rPr>
      </w:pPr>
      <w:r>
        <w:rPr>
          <w:rFonts w:hint="eastAsia" w:asciiTheme="minorEastAsia" w:hAnsiTheme="minorEastAsia" w:eastAsiaTheme="minorEastAsia" w:cstheme="minorEastAsia"/>
          <w:b/>
          <w:bCs/>
          <w:color w:val="auto"/>
          <w:sz w:val="22"/>
          <w:szCs w:val="22"/>
          <w:highlight w:val="none"/>
          <w:lang w:val="en-US" w:eastAsia="en-US"/>
        </w:rPr>
        <w:t>项目名称及预算</w:t>
      </w:r>
    </w:p>
    <w:p w14:paraId="3722557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default"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郁南县桂圩镇初级中学2025-2026学年食堂食品采购项目</w:t>
      </w:r>
    </w:p>
    <w:p w14:paraId="62C197A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t>项目预算：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肆拾万元整</w:t>
      </w:r>
      <w:r>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400</w:t>
      </w:r>
      <w:r>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t>000.00元）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。（按实际结算）</w:t>
      </w:r>
    </w:p>
    <w:p w14:paraId="35AEE29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t>服务时间：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自签订供货合同日期起，供货合同期为一年</w:t>
      </w:r>
      <w:r>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t>。</w:t>
      </w:r>
    </w:p>
    <w:p w14:paraId="31D7F0F0">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color w:val="000000" w:themeColor="text1"/>
          <w:highlight w:val="none"/>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配送地点：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郁南县桂圩镇初级中学食堂验货区。</w:t>
      </w:r>
    </w:p>
    <w:p w14:paraId="5B9E737D">
      <w:pPr>
        <w:keepNext w:val="0"/>
        <w:keepLines w:val="0"/>
        <w:pageBreakBefore w:val="0"/>
        <w:numPr>
          <w:ilvl w:val="0"/>
          <w:numId w:val="1"/>
        </w:numPr>
        <w:kinsoku/>
        <w:wordWrap/>
        <w:overflowPunct/>
        <w:topLinePunct w:val="0"/>
        <w:autoSpaceDE/>
        <w:autoSpaceDN/>
        <w:bidi w:val="0"/>
        <w:adjustRightInd/>
        <w:spacing w:line="360" w:lineRule="auto"/>
        <w:ind w:left="221" w:leftChars="0" w:hanging="221" w:hangingChars="100"/>
        <w:textAlignment w:val="auto"/>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项目概况及需求</w:t>
      </w:r>
    </w:p>
    <w:p w14:paraId="388679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为进一步加强学校食堂管理，规范学校食堂在经营运作、食品安全、饮食营养和价格监督管理等方面工作，保障师生权益，本项目根据《中华人民共和国食品安全法》、《广东省食品安全条例》、《广东省学校食堂食品安全管理规定》、《广东省学校食堂食品安全管理档案建立规范工作指引》</w:t>
      </w:r>
      <w:r>
        <w:rPr>
          <w:rFonts w:hint="eastAsia" w:asciiTheme="minorEastAsia" w:hAnsiTheme="minorEastAsia" w:eastAsiaTheme="minorEastAsia" w:cstheme="minorEastAsia"/>
          <w:color w:val="auto"/>
          <w:sz w:val="21"/>
          <w:szCs w:val="21"/>
          <w:highlight w:val="none"/>
          <w:lang w:eastAsia="zh-CN"/>
        </w:rPr>
        <w:t>、《关于进一步规范我市学校食堂管理的通知》</w:t>
      </w:r>
      <w:r>
        <w:rPr>
          <w:rFonts w:hint="eastAsia" w:asciiTheme="minorEastAsia" w:hAnsiTheme="minorEastAsia" w:eastAsiaTheme="minorEastAsia" w:cstheme="minorEastAsia"/>
          <w:color w:val="auto"/>
          <w:sz w:val="21"/>
          <w:szCs w:val="21"/>
          <w:highlight w:val="none"/>
        </w:rPr>
        <w:t>及相关文件精神，对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郁南县桂圩镇初级中学2025-2026学年食堂食品采购项目</w:t>
      </w:r>
      <w:r>
        <w:rPr>
          <w:rFonts w:hint="eastAsia" w:asciiTheme="minorEastAsia" w:hAnsiTheme="minorEastAsia" w:eastAsiaTheme="minorEastAsia" w:cstheme="minorEastAsia"/>
          <w:color w:val="auto"/>
          <w:sz w:val="21"/>
          <w:szCs w:val="21"/>
          <w:highlight w:val="none"/>
        </w:rPr>
        <w:t>作总体要求。</w:t>
      </w:r>
    </w:p>
    <w:p w14:paraId="29CC37D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采购采购项目一览表</w:t>
      </w:r>
    </w:p>
    <w:tbl>
      <w:tblPr>
        <w:tblStyle w:val="4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308"/>
        <w:gridCol w:w="1125"/>
        <w:gridCol w:w="1635"/>
        <w:gridCol w:w="2238"/>
      </w:tblGrid>
      <w:tr w14:paraId="49C0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71" w:type="dxa"/>
            <w:vAlign w:val="center"/>
          </w:tcPr>
          <w:p w14:paraId="47B9137F">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3308" w:type="dxa"/>
            <w:vAlign w:val="center"/>
          </w:tcPr>
          <w:p w14:paraId="2A4ECB62">
            <w:pPr>
              <w:keepNext w:val="0"/>
              <w:keepLines w:val="0"/>
              <w:pageBreakBefore w:val="0"/>
              <w:widowControl w:val="0"/>
              <w:kinsoku/>
              <w:wordWrap/>
              <w:overflowPunct/>
              <w:topLinePunct w:val="0"/>
              <w:autoSpaceDE/>
              <w:autoSpaceDN/>
              <w:bidi w:val="0"/>
              <w:adjustRightInd/>
              <w:spacing w:line="360" w:lineRule="auto"/>
              <w:ind w:left="361" w:hanging="210" w:hangingChars="1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供应货物</w:t>
            </w:r>
          </w:p>
        </w:tc>
        <w:tc>
          <w:tcPr>
            <w:tcW w:w="1125" w:type="dxa"/>
            <w:vAlign w:val="center"/>
          </w:tcPr>
          <w:p w14:paraId="31013735">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数量（项）</w:t>
            </w:r>
          </w:p>
        </w:tc>
        <w:tc>
          <w:tcPr>
            <w:tcW w:w="1635" w:type="dxa"/>
            <w:vAlign w:val="center"/>
          </w:tcPr>
          <w:p w14:paraId="2BDA7ED5">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预算金额（元）</w:t>
            </w:r>
          </w:p>
        </w:tc>
        <w:tc>
          <w:tcPr>
            <w:tcW w:w="2238" w:type="dxa"/>
            <w:vAlign w:val="center"/>
          </w:tcPr>
          <w:p w14:paraId="1C112D4F">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服务年限</w:t>
            </w:r>
          </w:p>
        </w:tc>
      </w:tr>
      <w:tr w14:paraId="2390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71" w:type="dxa"/>
            <w:vAlign w:val="center"/>
          </w:tcPr>
          <w:p w14:paraId="64F943F1">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308" w:type="dxa"/>
            <w:shd w:val="clear" w:color="auto" w:fill="auto"/>
            <w:vAlign w:val="center"/>
          </w:tcPr>
          <w:p w14:paraId="6C831766">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left"/>
              <w:textAlignment w:val="auto"/>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肉类（猪肉、鸡肉、鸭肉、鱼肉、</w:t>
            </w:r>
          </w:p>
          <w:p w14:paraId="408345E6">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冰鲜、牛肉等）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、瓜菜类、包点、</w:t>
            </w:r>
          </w:p>
          <w:p w14:paraId="76D9B0C2">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粉类、豆腐、瓜、叶菜、面包、糕</w:t>
            </w:r>
          </w:p>
          <w:p w14:paraId="404BA137">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点、河粉等）粮、油、干货、调味</w:t>
            </w:r>
          </w:p>
          <w:p w14:paraId="12E719AE">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类（大米、米粉、鸡蛋、配菜、油、</w:t>
            </w:r>
          </w:p>
          <w:p w14:paraId="20F2D013">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盐、酱、醋、酒等）</w:t>
            </w:r>
          </w:p>
        </w:tc>
        <w:tc>
          <w:tcPr>
            <w:tcW w:w="1125" w:type="dxa"/>
            <w:vAlign w:val="center"/>
          </w:tcPr>
          <w:p w14:paraId="4E05DDC9">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635" w:type="dxa"/>
            <w:vAlign w:val="center"/>
          </w:tcPr>
          <w:p w14:paraId="1C221058">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400</w:t>
            </w:r>
            <w:r>
              <w:rPr>
                <w:rFonts w:hint="eastAsia" w:asciiTheme="minorEastAsia" w:hAnsiTheme="minorEastAsia" w:eastAsiaTheme="minorEastAsia" w:cstheme="minorEastAsia"/>
                <w:color w:val="000000" w:themeColor="text1"/>
                <w:sz w:val="21"/>
                <w:szCs w:val="21"/>
                <w:highlight w:val="none"/>
                <w:lang w:val="en-US" w:eastAsia="en-US"/>
                <w14:textFill>
                  <w14:solidFill>
                    <w14:schemeClr w14:val="tx1"/>
                  </w14:solidFill>
                </w14:textFill>
              </w:rPr>
              <w:t>000.00</w:t>
            </w:r>
          </w:p>
        </w:tc>
        <w:tc>
          <w:tcPr>
            <w:tcW w:w="2238" w:type="dxa"/>
            <w:vAlign w:val="center"/>
          </w:tcPr>
          <w:p w14:paraId="01F3F143">
            <w:pPr>
              <w:keepNext w:val="0"/>
              <w:keepLines w:val="0"/>
              <w:pageBreakBefore w:val="0"/>
              <w:widowControl w:val="0"/>
              <w:kinsoku/>
              <w:wordWrap/>
              <w:overflowPunct/>
              <w:topLinePunct w:val="0"/>
              <w:autoSpaceDE/>
              <w:autoSpaceDN/>
              <w:bidi w:val="0"/>
              <w:adjustRightInd/>
              <w:spacing w:line="360" w:lineRule="auto"/>
              <w:ind w:left="210" w:leftChars="0" w:hanging="210" w:hanging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自签订供货合同日期起，供货合同期为一年</w:t>
            </w:r>
            <w:r>
              <w:rPr>
                <w:rFonts w:hint="eastAsia" w:asciiTheme="minorEastAsia" w:hAnsiTheme="minorEastAsia" w:eastAsiaTheme="minorEastAsia" w:cstheme="minorEastAsia"/>
                <w:color w:val="auto"/>
                <w:sz w:val="21"/>
                <w:szCs w:val="21"/>
                <w:highlight w:val="none"/>
                <w:lang w:val="en-US" w:eastAsia="en-US"/>
              </w:rPr>
              <w:t>。</w:t>
            </w:r>
          </w:p>
        </w:tc>
      </w:tr>
    </w:tbl>
    <w:p w14:paraId="017CE53F">
      <w:pPr>
        <w:keepNext w:val="0"/>
        <w:keepLines w:val="0"/>
        <w:pageBreakBefore w:val="0"/>
        <w:kinsoku/>
        <w:wordWrap/>
        <w:overflowPunct/>
        <w:topLinePunct w:val="0"/>
        <w:autoSpaceDE/>
        <w:autoSpaceDN/>
        <w:bidi w:val="0"/>
        <w:adjustRightInd/>
        <w:spacing w:line="360" w:lineRule="auto"/>
        <w:ind w:left="361"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注：采购单位与中标供应商在投标及履行合同过程中，必须遵守《中华人民共和国反不正当竞争法》、《中华人民共和国消费者权益保障法》、《中华人民共和国民法典》及相关的国家法律、法规。</w:t>
      </w:r>
    </w:p>
    <w:p w14:paraId="4CC2CDE2">
      <w:pPr>
        <w:keepNext w:val="0"/>
        <w:keepLines w:val="0"/>
        <w:pageBreakBefore w:val="0"/>
        <w:numPr>
          <w:ilvl w:val="0"/>
          <w:numId w:val="0"/>
        </w:numPr>
        <w:kinsoku/>
        <w:wordWrap/>
        <w:overflowPunct/>
        <w:topLinePunct w:val="0"/>
        <w:autoSpaceDE/>
        <w:autoSpaceDN/>
        <w:bidi w:val="0"/>
        <w:adjustRightInd/>
        <w:spacing w:line="360" w:lineRule="auto"/>
        <w:ind w:left="221" w:leftChars="0" w:hanging="221" w:hangingChars="100"/>
        <w:textAlignment w:val="auto"/>
        <w:rPr>
          <w:rFonts w:hint="eastAsia" w:asciiTheme="minorEastAsia" w:hAnsiTheme="minorEastAsia" w:eastAsiaTheme="minorEastAsia" w:cstheme="minorEastAsia"/>
          <w:b/>
          <w:bCs/>
          <w:color w:val="auto"/>
          <w:sz w:val="22"/>
          <w:szCs w:val="22"/>
          <w:highlight w:val="none"/>
          <w:lang w:val="en-US" w:eastAsia="zh-CN" w:bidi="ar-SA"/>
        </w:rPr>
      </w:pPr>
      <w:r>
        <w:rPr>
          <w:rFonts w:hint="eastAsia" w:asciiTheme="minorEastAsia" w:hAnsiTheme="minorEastAsia" w:eastAsiaTheme="minorEastAsia" w:cstheme="minorEastAsia"/>
          <w:b/>
          <w:bCs/>
          <w:color w:val="auto"/>
          <w:sz w:val="22"/>
          <w:szCs w:val="22"/>
          <w:highlight w:val="none"/>
          <w:lang w:val="en-US" w:eastAsia="zh-CN" w:bidi="ar-SA"/>
        </w:rPr>
        <w:t>三、采购项目商务要求</w:t>
      </w:r>
    </w:p>
    <w:p w14:paraId="16ACD1C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1.投标报价采用“投标下浮率”的方式，投标下浮率必须为固定唯一值，</w:t>
      </w:r>
      <w:r>
        <w:rPr>
          <w:rFonts w:hint="eastAsia" w:asciiTheme="minorEastAsia" w:hAnsiTheme="minorEastAsia" w:eastAsiaTheme="minorEastAsia" w:cstheme="minorEastAsia"/>
          <w:color w:val="FF0000"/>
          <w:sz w:val="21"/>
          <w:szCs w:val="21"/>
          <w:highlight w:val="none"/>
          <w:lang w:val="en-US" w:eastAsia="zh-CN"/>
        </w:rPr>
        <w:t>投标下浮率范围10%-100%</w:t>
      </w:r>
      <w:r>
        <w:rPr>
          <w:rFonts w:hint="eastAsia" w:asciiTheme="minorEastAsia" w:hAnsiTheme="minorEastAsia" w:eastAsiaTheme="minorEastAsia" w:cstheme="minorEastAsia"/>
          <w:color w:val="auto"/>
          <w:sz w:val="21"/>
          <w:szCs w:val="21"/>
          <w:highlight w:val="none"/>
          <w:lang w:val="en-US" w:eastAsia="zh-CN"/>
        </w:rPr>
        <w:t>，否则按无效投标处理。</w:t>
      </w:r>
    </w:p>
    <w:p w14:paraId="1F64D72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2.所有供货定价须包含货物的购置、检验检疫费、质量检测费、包装、配送、运输、保险、装卸、退换、质保期售后服务、全额含税发票等合同实施过程中应预见和不可预见的费用。</w:t>
      </w:r>
    </w:p>
    <w:p w14:paraId="03548CC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3.采购人每月要组织价格调查小组( 3至5人)至少进行一次市场价格调查，填写食堂食材月价格市场调查表，要选择</w:t>
      </w:r>
      <w:r>
        <w:rPr>
          <w:rFonts w:hint="eastAsia" w:asciiTheme="minorEastAsia" w:hAnsiTheme="minorEastAsia" w:eastAsiaTheme="minorEastAsia" w:cstheme="minorEastAsia"/>
          <w:color w:val="FF0000"/>
          <w:sz w:val="21"/>
          <w:szCs w:val="21"/>
          <w:highlight w:val="none"/>
          <w:lang w:val="en-US" w:eastAsia="zh-CN"/>
        </w:rPr>
        <w:t>郁南县桂圩市场、都城镇都城市场、都城镇河堤市场三个肉菜市场</w:t>
      </w:r>
      <w:r>
        <w:rPr>
          <w:rFonts w:hint="eastAsia" w:asciiTheme="minorEastAsia" w:hAnsiTheme="minorEastAsia" w:eastAsiaTheme="minorEastAsia" w:cstheme="minorEastAsia"/>
          <w:color w:val="auto"/>
          <w:sz w:val="21"/>
          <w:szCs w:val="21"/>
          <w:highlight w:val="none"/>
          <w:lang w:val="en-US" w:eastAsia="zh-CN"/>
        </w:rPr>
        <w:t>对每种需要采购的食品材料进行询价。（1）供货基准单价确定：由采购人根据郁南县桂圩市场、都城镇都城市场、都城镇河堤市场三个市场相同品种的零售价格的平均价作为基准价，然后由采购单位食堂物价小组会议决定各食品的采购价格。如临时新增采购原料或食品的（即不在当期供货基准单价内），按采购货款实际金额作为结算基准价。结算公式：各类食品材料结算价格=各类食品材料实际供货数量×各类食品材料基准价（一个月为周期）×（1-中标下浮率）。（2）定价周期：每月定一次供货价格。每月15日前由前由采购人按招标文件、合同规定确认供货基准单价发给中标人。定价周期内价格不作调整。</w:t>
      </w:r>
    </w:p>
    <w:p w14:paraId="3A34029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4.中标人提供的货物价格不得高于郁南县内的市场价格和云浮市菜篮子价格监测公布的食材同类价格，以县内三个市场零售价的平均价格为准，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下浮10%或以上供应给采购单位</w:t>
      </w:r>
      <w:r>
        <w:rPr>
          <w:rFonts w:hint="eastAsia" w:asciiTheme="minorEastAsia" w:hAnsiTheme="minorEastAsia" w:eastAsiaTheme="minorEastAsia" w:cstheme="minorEastAsia"/>
          <w:color w:val="auto"/>
          <w:sz w:val="21"/>
          <w:szCs w:val="21"/>
          <w:highlight w:val="none"/>
          <w:lang w:val="en-US" w:eastAsia="zh-CN"/>
        </w:rPr>
        <w:t>。</w:t>
      </w:r>
    </w:p>
    <w:p w14:paraId="5C94CD1E">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5.中标人必须负责中标货物的运输、搬运等工作，确保无二次运输污染，所产生的费用由中标人负责。</w:t>
      </w:r>
    </w:p>
    <w:p w14:paraId="70AA123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中标人不得擅自变更投标货品（含商标、名称、产地、包装、规格和重量等），严格按采购人要求供应，否则，采购人有权拒收并要求中标方及时按采购人要求另外提供投标货品。如因市场流通问题确实需要变更的，应事先书面申请，并经采购人同意后方可改变。</w:t>
      </w:r>
    </w:p>
    <w:p w14:paraId="3DB3A50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7.中标人确定后，采购单位将根据实际情况向成交供应商采购所需食材，但采购单位不保证向成交供应商采购的具体数额。</w:t>
      </w:r>
    </w:p>
    <w:p w14:paraId="7771D417">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投标人不得以低于成本的报价竞标；当评审小组认为投标人报价低于成本价时有权利要求其对成本构成进行介绍，并要求投标人用书面的形式进行低价说明；如投标人没有合理的理由或不按要求提供低价说明，评审小组有权作投标无效处理。</w:t>
      </w:r>
    </w:p>
    <w:p w14:paraId="6999A245">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en-US"/>
        </w:rPr>
      </w:pPr>
      <w:r>
        <w:rPr>
          <w:rFonts w:hint="eastAsia" w:asciiTheme="minorEastAsia" w:hAnsiTheme="minorEastAsia" w:eastAsiaTheme="minorEastAsia" w:cstheme="minorEastAsia"/>
          <w:b/>
          <w:bCs/>
          <w:color w:val="auto"/>
          <w:sz w:val="21"/>
          <w:szCs w:val="21"/>
          <w:highlight w:val="none"/>
          <w:lang w:val="en-US" w:eastAsia="zh-CN"/>
        </w:rPr>
        <w:t>四、</w:t>
      </w:r>
      <w:r>
        <w:rPr>
          <w:rFonts w:hint="eastAsia" w:asciiTheme="minorEastAsia" w:hAnsiTheme="minorEastAsia" w:eastAsiaTheme="minorEastAsia" w:cstheme="minorEastAsia"/>
          <w:b/>
          <w:bCs/>
          <w:color w:val="auto"/>
          <w:sz w:val="21"/>
          <w:szCs w:val="21"/>
          <w:highlight w:val="none"/>
          <w:lang w:val="en-US" w:eastAsia="en-US"/>
        </w:rPr>
        <w:t>项目要求</w:t>
      </w:r>
    </w:p>
    <w:p w14:paraId="3700C7A6">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en-US"/>
        </w:rPr>
        <w:t>实际供货数量以</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每次提供的订单为准。</w:t>
      </w:r>
    </w:p>
    <w:p w14:paraId="57E0557F">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2.中标供应商</w:t>
      </w:r>
      <w:r>
        <w:rPr>
          <w:rFonts w:hint="eastAsia" w:asciiTheme="minorEastAsia" w:hAnsiTheme="minorEastAsia" w:eastAsiaTheme="minorEastAsia" w:cstheme="minorEastAsia"/>
          <w:color w:val="auto"/>
          <w:sz w:val="21"/>
          <w:szCs w:val="21"/>
          <w:highlight w:val="none"/>
          <w:lang w:val="en-US" w:eastAsia="en-US"/>
        </w:rPr>
        <w:t>不得将中标项目转让或分包给他人，否则</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有权单方面终止合同</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en-US"/>
        </w:rPr>
        <w:t>由此产生的一切经济损失由</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自行承担。</w:t>
      </w:r>
    </w:p>
    <w:p w14:paraId="3B904D26">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3.采购单位</w:t>
      </w:r>
      <w:r>
        <w:rPr>
          <w:rFonts w:hint="eastAsia" w:asciiTheme="minorEastAsia" w:hAnsiTheme="minorEastAsia" w:eastAsiaTheme="minorEastAsia" w:cstheme="minorEastAsia"/>
          <w:color w:val="auto"/>
          <w:sz w:val="21"/>
          <w:szCs w:val="21"/>
          <w:highlight w:val="none"/>
          <w:lang w:val="en-US" w:eastAsia="en-US"/>
        </w:rPr>
        <w:t>提前一天以电话或</w:t>
      </w:r>
      <w:r>
        <w:rPr>
          <w:rFonts w:hint="eastAsia" w:asciiTheme="minorEastAsia" w:hAnsiTheme="minorEastAsia" w:eastAsiaTheme="minorEastAsia" w:cstheme="minorEastAsia"/>
          <w:color w:val="auto"/>
          <w:sz w:val="21"/>
          <w:szCs w:val="21"/>
          <w:highlight w:val="none"/>
          <w:lang w:val="en-US" w:eastAsia="zh-CN"/>
        </w:rPr>
        <w:t>微信</w:t>
      </w:r>
      <w:r>
        <w:rPr>
          <w:rFonts w:hint="eastAsia" w:asciiTheme="minorEastAsia" w:hAnsiTheme="minorEastAsia" w:eastAsiaTheme="minorEastAsia" w:cstheme="minorEastAsia"/>
          <w:color w:val="auto"/>
          <w:sz w:val="21"/>
          <w:szCs w:val="21"/>
          <w:highlight w:val="none"/>
          <w:lang w:val="en-US" w:eastAsia="en-US"/>
        </w:rPr>
        <w:t>方式向</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下订单，订单内容包括名称、规格、数量等。</w:t>
      </w:r>
    </w:p>
    <w:p w14:paraId="3833CC62">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4.中标供应商须在接到采购人订单之日的第二天，早上6：00前将所订购的食品送至采购人指定地点。遇紧急或特殊情况，采购人需临时增加订单的，须与中标供应商电话沟通及时送到完成配送。</w:t>
      </w:r>
    </w:p>
    <w:p w14:paraId="66020B41">
      <w:pPr>
        <w:keepNext w:val="0"/>
        <w:keepLines w:val="0"/>
        <w:pageBreakBefore w:val="0"/>
        <w:widowControl/>
        <w:kinsoku/>
        <w:wordWrap/>
        <w:overflowPunct/>
        <w:topLinePunct w:val="0"/>
        <w:autoSpaceDE/>
        <w:autoSpaceDN/>
        <w:bidi w:val="0"/>
        <w:adjustRightInd/>
        <w:snapToGri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5.中标供应商</w:t>
      </w:r>
      <w:r>
        <w:rPr>
          <w:rFonts w:hint="eastAsia" w:asciiTheme="minorEastAsia" w:hAnsiTheme="minorEastAsia" w:eastAsiaTheme="minorEastAsia" w:cstheme="minorEastAsia"/>
          <w:color w:val="auto"/>
          <w:sz w:val="21"/>
          <w:szCs w:val="21"/>
          <w:highlight w:val="none"/>
          <w:lang w:val="en-US" w:eastAsia="en-US"/>
        </w:rPr>
        <w:t>应当根据</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实际情况，按与</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的约定，在规定的时间内将预定的货物数量送到指定地点。除客观不可抗力外，</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不得推迟送货。如确需延迟送货的，</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应在得知情况的同时告知</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并征得</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同意，</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val="en-US" w:eastAsia="en-US"/>
        </w:rPr>
        <w:t>须承诺如中标后将准时送货到</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指定地点。如未能按要求准时送到指定地点</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en-US"/>
        </w:rPr>
        <w:t>所造成的损失由</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负责，并被处以当次供应食品货款3倍的罚款，罚款</w:t>
      </w:r>
      <w:r>
        <w:rPr>
          <w:rFonts w:hint="eastAsia" w:asciiTheme="minorEastAsia" w:hAnsiTheme="minorEastAsia" w:eastAsiaTheme="minorEastAsia" w:cstheme="minorEastAsia"/>
          <w:color w:val="auto"/>
          <w:sz w:val="21"/>
          <w:szCs w:val="21"/>
          <w:highlight w:val="none"/>
          <w:lang w:val="en-US" w:eastAsia="zh-CN"/>
        </w:rPr>
        <w:t>在</w:t>
      </w:r>
      <w:r>
        <w:rPr>
          <w:rFonts w:hint="eastAsia" w:asciiTheme="minorEastAsia" w:hAnsiTheme="minorEastAsia" w:eastAsiaTheme="minorEastAsia" w:cstheme="minorEastAsia"/>
          <w:color w:val="auto"/>
          <w:sz w:val="21"/>
          <w:szCs w:val="21"/>
          <w:highlight w:val="none"/>
          <w:lang w:val="en-US" w:eastAsia="en-US"/>
        </w:rPr>
        <w:t>供货结算款内扣除。</w:t>
      </w:r>
      <w:r>
        <w:rPr>
          <w:rFonts w:hint="eastAsia" w:asciiTheme="minorEastAsia" w:hAnsiTheme="minorEastAsia" w:eastAsiaTheme="minorEastAsia" w:cstheme="minorEastAsia"/>
          <w:b/>
          <w:bCs/>
          <w:color w:val="auto"/>
          <w:sz w:val="21"/>
          <w:szCs w:val="21"/>
          <w:highlight w:val="none"/>
          <w:lang w:val="en-US" w:eastAsia="en-US"/>
        </w:rPr>
        <w:t>（投标时提供承诺函）</w:t>
      </w:r>
    </w:p>
    <w:p w14:paraId="73C2D096">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cstheme="minorEastAsia"/>
          <w:color w:val="auto"/>
          <w:sz w:val="21"/>
          <w:szCs w:val="22"/>
          <w:highlight w:val="none"/>
          <w:lang w:val="en-US" w:eastAsia="en-US" w:bidi="ar-SA"/>
        </w:rPr>
      </w:pPr>
      <w:r>
        <w:rPr>
          <w:rFonts w:hint="eastAsia" w:asciiTheme="minorEastAsia" w:hAnsiTheme="minorEastAsia" w:eastAsiaTheme="minorEastAsia" w:cstheme="minorEastAsia"/>
          <w:color w:val="auto"/>
          <w:sz w:val="21"/>
          <w:szCs w:val="22"/>
          <w:highlight w:val="none"/>
          <w:lang w:val="en-US" w:eastAsia="zh-CN" w:bidi="ar-SA"/>
        </w:rPr>
        <w:t>6.中标供应商</w:t>
      </w:r>
      <w:r>
        <w:rPr>
          <w:rFonts w:hint="eastAsia" w:asciiTheme="minorEastAsia" w:hAnsiTheme="minorEastAsia" w:cstheme="minorEastAsia"/>
          <w:color w:val="auto"/>
          <w:sz w:val="21"/>
          <w:szCs w:val="22"/>
          <w:highlight w:val="none"/>
          <w:lang w:val="en-US" w:eastAsia="zh-CN" w:bidi="ar-SA"/>
        </w:rPr>
        <w:t>必须具备</w:t>
      </w:r>
      <w:r>
        <w:rPr>
          <w:rFonts w:hint="eastAsia" w:asciiTheme="minorEastAsia" w:hAnsiTheme="minorEastAsia" w:eastAsiaTheme="minorEastAsia" w:cstheme="minorEastAsia"/>
          <w:color w:val="auto"/>
          <w:sz w:val="21"/>
          <w:szCs w:val="22"/>
          <w:highlight w:val="none"/>
          <w:lang w:val="en-US" w:eastAsia="zh-CN" w:bidi="ar-SA"/>
        </w:rPr>
        <w:t>食品</w:t>
      </w:r>
      <w:r>
        <w:rPr>
          <w:rFonts w:hint="eastAsia" w:asciiTheme="minorEastAsia" w:hAnsiTheme="minorEastAsia" w:cstheme="minorEastAsia"/>
          <w:color w:val="auto"/>
          <w:sz w:val="21"/>
          <w:szCs w:val="22"/>
          <w:highlight w:val="none"/>
          <w:lang w:val="en-US" w:eastAsia="zh-CN" w:bidi="ar-SA"/>
        </w:rPr>
        <w:t>品质</w:t>
      </w:r>
      <w:r>
        <w:rPr>
          <w:rFonts w:hint="eastAsia" w:asciiTheme="minorEastAsia" w:hAnsiTheme="minorEastAsia" w:eastAsiaTheme="minorEastAsia" w:cstheme="minorEastAsia"/>
          <w:color w:val="auto"/>
          <w:sz w:val="21"/>
          <w:szCs w:val="22"/>
          <w:highlight w:val="none"/>
          <w:lang w:val="en-US" w:eastAsia="zh-CN" w:bidi="ar-SA"/>
        </w:rPr>
        <w:t>检测</w:t>
      </w:r>
      <w:r>
        <w:rPr>
          <w:rFonts w:hint="eastAsia" w:asciiTheme="minorEastAsia" w:hAnsiTheme="minorEastAsia" w:cstheme="minorEastAsia"/>
          <w:color w:val="auto"/>
          <w:sz w:val="21"/>
          <w:szCs w:val="22"/>
          <w:highlight w:val="none"/>
          <w:lang w:val="en-US" w:eastAsia="zh-CN" w:bidi="ar-SA"/>
        </w:rPr>
        <w:t>仪器。</w:t>
      </w:r>
    </w:p>
    <w:p w14:paraId="3CAFEA15">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7.中标供应商</w:t>
      </w:r>
      <w:r>
        <w:rPr>
          <w:rFonts w:hint="eastAsia" w:asciiTheme="minorEastAsia" w:hAnsiTheme="minorEastAsia" w:eastAsiaTheme="minorEastAsia" w:cstheme="minorEastAsia"/>
          <w:color w:val="auto"/>
          <w:sz w:val="21"/>
          <w:szCs w:val="21"/>
          <w:highlight w:val="none"/>
          <w:lang w:val="en-US" w:eastAsia="en-US"/>
        </w:rPr>
        <w:t>需承诺所有的食材为非转基因产品。</w:t>
      </w:r>
      <w:r>
        <w:rPr>
          <w:rFonts w:hint="eastAsia" w:asciiTheme="minorEastAsia" w:hAnsiTheme="minorEastAsia" w:eastAsiaTheme="minorEastAsia" w:cstheme="minorEastAsia"/>
          <w:b/>
          <w:bCs/>
          <w:color w:val="auto"/>
          <w:sz w:val="21"/>
          <w:szCs w:val="21"/>
          <w:highlight w:val="none"/>
          <w:lang w:val="en-US" w:eastAsia="en-US"/>
        </w:rPr>
        <w:t>（投标时提供承诺函并加盖公章证明）</w:t>
      </w:r>
      <w:r>
        <w:rPr>
          <w:rFonts w:hint="eastAsia" w:asciiTheme="minorEastAsia" w:hAnsiTheme="minorEastAsia" w:eastAsiaTheme="minorEastAsia" w:cstheme="minorEastAsia"/>
          <w:color w:val="auto"/>
          <w:sz w:val="21"/>
          <w:szCs w:val="21"/>
          <w:highlight w:val="none"/>
          <w:lang w:val="en-US" w:eastAsia="en-US"/>
        </w:rPr>
        <w:t>。</w:t>
      </w:r>
    </w:p>
    <w:p w14:paraId="74B4D2D8">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每天配送的食材</w:t>
      </w:r>
      <w:r>
        <w:rPr>
          <w:rFonts w:hint="eastAsia" w:asciiTheme="minorEastAsia" w:hAnsiTheme="minorEastAsia" w:eastAsiaTheme="minorEastAsia" w:cstheme="minorEastAsia"/>
          <w:color w:val="auto"/>
          <w:sz w:val="21"/>
          <w:szCs w:val="21"/>
          <w:highlight w:val="none"/>
          <w:lang w:val="en-US" w:eastAsia="zh-CN"/>
        </w:rPr>
        <w:t>和车辆</w:t>
      </w:r>
      <w:r>
        <w:rPr>
          <w:rFonts w:hint="eastAsia" w:asciiTheme="minorEastAsia" w:hAnsiTheme="minorEastAsia" w:eastAsiaTheme="minorEastAsia" w:cstheme="minorEastAsia"/>
          <w:color w:val="auto"/>
          <w:sz w:val="21"/>
          <w:szCs w:val="21"/>
          <w:highlight w:val="none"/>
        </w:rPr>
        <w:t>等必须确保安全、合格，若发生食品安全问题</w:t>
      </w:r>
      <w:r>
        <w:rPr>
          <w:rFonts w:hint="eastAsia" w:asciiTheme="minorEastAsia" w:hAnsiTheme="minorEastAsia" w:eastAsiaTheme="minorEastAsia" w:cstheme="minorEastAsia"/>
          <w:color w:val="auto"/>
          <w:sz w:val="21"/>
          <w:szCs w:val="21"/>
          <w:highlight w:val="none"/>
          <w:lang w:val="en-US" w:eastAsia="zh-CN"/>
        </w:rPr>
        <w:t>或交通安全问题</w:t>
      </w:r>
      <w:r>
        <w:rPr>
          <w:rFonts w:hint="eastAsia" w:asciiTheme="minorEastAsia" w:hAnsiTheme="minorEastAsia" w:eastAsiaTheme="minorEastAsia" w:cstheme="minorEastAsia"/>
          <w:color w:val="auto"/>
          <w:sz w:val="21"/>
          <w:szCs w:val="21"/>
          <w:highlight w:val="none"/>
        </w:rPr>
        <w:t>由</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负责全部责任</w:t>
      </w:r>
      <w:r>
        <w:rPr>
          <w:rFonts w:hint="eastAsia" w:asciiTheme="minorEastAsia" w:hAnsiTheme="minorEastAsia" w:eastAsiaTheme="minorEastAsia" w:cstheme="minorEastAsia"/>
          <w:b/>
          <w:bCs/>
          <w:color w:val="auto"/>
          <w:sz w:val="21"/>
          <w:szCs w:val="21"/>
          <w:highlight w:val="none"/>
        </w:rPr>
        <w:t>（投标时提供承诺函并加盖公章证明）</w:t>
      </w:r>
      <w:r>
        <w:rPr>
          <w:rFonts w:hint="eastAsia" w:asciiTheme="minorEastAsia" w:hAnsiTheme="minorEastAsia" w:eastAsiaTheme="minorEastAsia" w:cstheme="minorEastAsia"/>
          <w:color w:val="auto"/>
          <w:sz w:val="21"/>
          <w:szCs w:val="21"/>
          <w:highlight w:val="none"/>
        </w:rPr>
        <w:t>。</w:t>
      </w:r>
    </w:p>
    <w:p w14:paraId="334D5DC1">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9.中标供应商</w:t>
      </w:r>
      <w:r>
        <w:rPr>
          <w:rFonts w:hint="eastAsia" w:asciiTheme="minorEastAsia" w:hAnsiTheme="minorEastAsia" w:eastAsiaTheme="minorEastAsia" w:cstheme="minorEastAsia"/>
          <w:color w:val="auto"/>
          <w:sz w:val="21"/>
          <w:szCs w:val="21"/>
          <w:highlight w:val="none"/>
          <w:lang w:val="en-US" w:eastAsia="en-US"/>
        </w:rPr>
        <w:t>应根据</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实际要求运送货物甚至进行免费简单加工（活禽类要经宰杀和清洗，蔬菜类要达到净菜上市标准）。</w:t>
      </w:r>
    </w:p>
    <w:p w14:paraId="00C33F01">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en-US" w:eastAsia="en-US"/>
        </w:rPr>
        <w:t>每次送货，</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须委派一名专门负责人</w:t>
      </w:r>
      <w:r>
        <w:rPr>
          <w:rFonts w:hint="eastAsia" w:asciiTheme="minorEastAsia" w:hAnsiTheme="minorEastAsia" w:eastAsiaTheme="minorEastAsia" w:cstheme="minorEastAsia"/>
          <w:color w:val="auto"/>
          <w:sz w:val="21"/>
          <w:szCs w:val="21"/>
          <w:highlight w:val="none"/>
          <w:lang w:val="en-US" w:eastAsia="zh-CN"/>
        </w:rPr>
        <w:t>（中标供应商的送货人员必须持有有效期内的健康证）</w:t>
      </w:r>
      <w:r>
        <w:rPr>
          <w:rFonts w:hint="eastAsia" w:asciiTheme="minorEastAsia" w:hAnsiTheme="minorEastAsia" w:eastAsiaTheme="minorEastAsia" w:cstheme="minorEastAsia"/>
          <w:color w:val="auto"/>
          <w:sz w:val="21"/>
          <w:szCs w:val="21"/>
          <w:highlight w:val="none"/>
          <w:lang w:val="en-US" w:eastAsia="en-US"/>
        </w:rPr>
        <w:t>，负责货物的运输、过秤，并协助</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验收货品，货品的品种和重量以</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验收的结果为准。</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每次随货送上</w:t>
      </w:r>
      <w:r>
        <w:rPr>
          <w:rFonts w:hint="eastAsia" w:asciiTheme="minorEastAsia" w:hAnsiTheme="minorEastAsia" w:eastAsiaTheme="minorEastAsia" w:cstheme="minorEastAsia"/>
          <w:color w:val="auto"/>
          <w:sz w:val="21"/>
          <w:szCs w:val="21"/>
          <w:highlight w:val="none"/>
          <w:lang w:val="en-US" w:eastAsia="zh-CN"/>
        </w:rPr>
        <w:t>一式两份</w:t>
      </w:r>
      <w:r>
        <w:rPr>
          <w:rFonts w:hint="eastAsia" w:asciiTheme="minorEastAsia" w:hAnsiTheme="minorEastAsia" w:eastAsiaTheme="minorEastAsia" w:cstheme="minorEastAsia"/>
          <w:color w:val="auto"/>
          <w:sz w:val="21"/>
          <w:szCs w:val="21"/>
          <w:highlight w:val="none"/>
          <w:lang w:val="en-US" w:eastAsia="en-US"/>
        </w:rPr>
        <w:t>的送货清单，供双方验货后签字确认，双方各持一份，作为送、收货的凭证。</w:t>
      </w:r>
    </w:p>
    <w:p w14:paraId="6DAED67B">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11.配送早餐和熟食品的配送员必须要符合广东省学生集体配餐员的要求。早餐和熟食品配送车辆必须要符合广东省学生集体用餐配送车的卫生标准。</w:t>
      </w:r>
    </w:p>
    <w:p w14:paraId="24F5061D">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12.中标供应商</w:t>
      </w:r>
      <w:r>
        <w:rPr>
          <w:rFonts w:hint="eastAsia" w:asciiTheme="minorEastAsia" w:hAnsiTheme="minorEastAsia" w:eastAsiaTheme="minorEastAsia" w:cstheme="minorEastAsia"/>
          <w:color w:val="auto"/>
          <w:sz w:val="21"/>
          <w:szCs w:val="21"/>
          <w:highlight w:val="none"/>
          <w:lang w:val="en-US" w:eastAsia="en-US"/>
        </w:rPr>
        <w:t>须严格按照</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的指令配送商品的数量，不得随意增减数量，否则，</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有权拒收。如因市场流通问题确实需要变更的，应事先书面申请，并经</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同意后方可改变。</w:t>
      </w:r>
    </w:p>
    <w:p w14:paraId="3E823402">
      <w:pPr>
        <w:keepNext w:val="0"/>
        <w:keepLines w:val="0"/>
        <w:pageBreakBefore w:val="0"/>
        <w:widowControl/>
        <w:kinsoku/>
        <w:wordWrap/>
        <w:overflowPunct/>
        <w:topLinePunct w:val="0"/>
        <w:autoSpaceDE/>
        <w:autoSpaceDN/>
        <w:bidi w:val="0"/>
        <w:adjustRightInd/>
        <w:snapToGrid w:val="0"/>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val="en-US" w:eastAsia="en-US"/>
        </w:rPr>
        <w:t>采购</w:t>
      </w:r>
      <w:r>
        <w:rPr>
          <w:rFonts w:hint="eastAsia" w:asciiTheme="minorEastAsia" w:hAnsiTheme="minorEastAsia" w:eastAsia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lang w:val="en-US" w:eastAsia="en-US"/>
        </w:rPr>
        <w:t>发现采购货物因质量问题或</w:t>
      </w:r>
      <w:r>
        <w:rPr>
          <w:rFonts w:hint="eastAsia" w:asciiTheme="minorEastAsia" w:hAnsiTheme="minorEastAsia" w:eastAsiaTheme="minorEastAsia" w:cstheme="minorEastAsia"/>
          <w:color w:val="auto"/>
          <w:sz w:val="21"/>
          <w:szCs w:val="21"/>
          <w:highlight w:val="none"/>
          <w:lang w:val="en-US" w:eastAsia="zh-CN"/>
        </w:rPr>
        <w:t>货</w:t>
      </w:r>
      <w:r>
        <w:rPr>
          <w:rFonts w:hint="eastAsia" w:asciiTheme="minorEastAsia" w:hAnsiTheme="minorEastAsia" w:eastAsiaTheme="minorEastAsia" w:cstheme="minorEastAsia"/>
          <w:color w:val="auto"/>
          <w:sz w:val="21"/>
          <w:szCs w:val="21"/>
          <w:highlight w:val="none"/>
          <w:lang w:val="en-US" w:eastAsia="en-US"/>
        </w:rPr>
        <w:t>不对版而导致不能正常使用的，</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应无条件退换。</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未能履行用户需求书和合同所定事项，或供应不合格的、假冒伪劣、以次充好的商品，</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退货后将记录在案，并对</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予以处罚，扣罚当天货物因质量问题</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lang w:val="en-US" w:eastAsia="en-US"/>
        </w:rPr>
        <w:t>货款全额。情节严重或多次出现前述问题的，</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有权终止采购合同。</w:t>
      </w:r>
    </w:p>
    <w:p w14:paraId="0D00A810">
      <w:pPr>
        <w:keepNext w:val="0"/>
        <w:keepLines w:val="0"/>
        <w:pageBreakBefore w:val="0"/>
        <w:widowControl/>
        <w:kinsoku/>
        <w:wordWrap/>
        <w:overflowPunct/>
        <w:topLinePunct w:val="0"/>
        <w:autoSpaceDE/>
        <w:autoSpaceDN/>
        <w:bidi w:val="0"/>
        <w:adjustRightInd/>
        <w:snapToGri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14.中标供应商</w:t>
      </w:r>
      <w:r>
        <w:rPr>
          <w:rFonts w:hint="eastAsia" w:asciiTheme="minorEastAsia" w:hAnsiTheme="minorEastAsia" w:eastAsiaTheme="minorEastAsia" w:cstheme="minorEastAsia"/>
          <w:color w:val="auto"/>
          <w:sz w:val="21"/>
          <w:szCs w:val="21"/>
          <w:highlight w:val="none"/>
          <w:lang w:val="en-US" w:eastAsia="en-US"/>
        </w:rPr>
        <w:t>的送货单必须详细注明商品的品牌、型号、单价、数量、送货单不得涂改。标记不清的，</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将拒绝签收。结算期末</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还应提供送货清单供</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结算。</w:t>
      </w:r>
    </w:p>
    <w:p w14:paraId="0AB84038">
      <w:pPr>
        <w:keepNext w:val="0"/>
        <w:keepLines w:val="0"/>
        <w:pageBreakBefore w:val="0"/>
        <w:widowControl/>
        <w:kinsoku/>
        <w:wordWrap/>
        <w:overflowPunct/>
        <w:topLinePunct w:val="0"/>
        <w:autoSpaceDE/>
        <w:autoSpaceDN/>
        <w:bidi w:val="0"/>
        <w:adjustRightInd/>
        <w:snapToGri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15.中标供应商</w:t>
      </w:r>
      <w:r>
        <w:rPr>
          <w:rFonts w:hint="eastAsia" w:asciiTheme="minorEastAsia" w:hAnsiTheme="minorEastAsia" w:eastAsiaTheme="minorEastAsia" w:cstheme="minorEastAsia"/>
          <w:color w:val="auto"/>
          <w:sz w:val="21"/>
          <w:szCs w:val="21"/>
          <w:highlight w:val="none"/>
          <w:lang w:val="en-US" w:eastAsia="en-US"/>
        </w:rPr>
        <w:t>不得泄露</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的商业秘密。泄密造成</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损失的，</w:t>
      </w:r>
      <w:r>
        <w:rPr>
          <w:rFonts w:hint="eastAsia" w:asciiTheme="minorEastAsia" w:hAnsiTheme="minorEastAsia" w:eastAsiaTheme="minorEastAsia" w:cstheme="minorEastAsia"/>
          <w:color w:val="auto"/>
          <w:sz w:val="21"/>
          <w:szCs w:val="21"/>
          <w:highlight w:val="none"/>
          <w:lang w:val="en-US" w:eastAsia="zh-CN"/>
        </w:rPr>
        <w:t>中标供应商</w:t>
      </w:r>
      <w:r>
        <w:rPr>
          <w:rFonts w:hint="eastAsia" w:asciiTheme="minorEastAsia" w:hAnsiTheme="minorEastAsia" w:eastAsiaTheme="minorEastAsia" w:cstheme="minorEastAsia"/>
          <w:color w:val="auto"/>
          <w:sz w:val="21"/>
          <w:szCs w:val="21"/>
          <w:highlight w:val="none"/>
          <w:lang w:val="en-US" w:eastAsia="en-US"/>
        </w:rPr>
        <w:t>将承担由此产生的一切损失和法律责任。</w:t>
      </w:r>
    </w:p>
    <w:p w14:paraId="73CABE95">
      <w:pPr>
        <w:keepNext w:val="0"/>
        <w:keepLines w:val="0"/>
        <w:pageBreakBefore w:val="0"/>
        <w:widowControl/>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16.中标供应商必须购买食品安全责任保险。</w:t>
      </w:r>
    </w:p>
    <w:p w14:paraId="19074892">
      <w:pPr>
        <w:keepNext w:val="0"/>
        <w:keepLines w:val="0"/>
        <w:pageBreakBefore w:val="0"/>
        <w:widowControl/>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17.采购单位对应急食材有自主采购权，不受中标供应商和本项目制约。</w:t>
      </w:r>
    </w:p>
    <w:p w14:paraId="539D159E">
      <w:pPr>
        <w:keepNext w:val="0"/>
        <w:keepLines w:val="0"/>
        <w:pageBreakBefore w:val="0"/>
        <w:widowControl/>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18.中标供应商应严格遵守《食品卫生法》和《动物检疫法》等相关规定，不得采购、加工和使用法律、法规和规章规定禁止经营或者不符合食品安全标准的食品、食品添加剂、食品相关产品。一经发现供应以下食品，除全部退货外，将取消供货单位的供货资格，供货单位并承担由此造成的经济责任和法律责任：</w:t>
      </w:r>
    </w:p>
    <w:p w14:paraId="78D4F805">
      <w:pPr>
        <w:keepNext w:val="0"/>
        <w:keepLines w:val="0"/>
        <w:pageBreakBefore w:val="0"/>
        <w:widowControl/>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en-US"/>
        </w:rPr>
        <w:t xml:space="preserve"> 食材没有合法供货来源的；</w:t>
      </w:r>
    </w:p>
    <w:p w14:paraId="47FCB6F0">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en-US"/>
        </w:rPr>
        <w:t xml:space="preserve"> 腐败变质、油脂酸败、霉变、生虫、污秽不洁、混有异物或者其他感官性状异常，对人体健康有害的；</w:t>
      </w:r>
    </w:p>
    <w:p w14:paraId="0D728224">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（3） </w:t>
      </w:r>
      <w:r>
        <w:rPr>
          <w:rFonts w:hint="eastAsia" w:asciiTheme="minorEastAsia" w:hAnsiTheme="minorEastAsia" w:eastAsiaTheme="minorEastAsia" w:cstheme="minorEastAsia"/>
          <w:color w:val="auto"/>
          <w:sz w:val="21"/>
          <w:szCs w:val="21"/>
          <w:highlight w:val="none"/>
          <w:lang w:val="en-US" w:eastAsia="en-US"/>
        </w:rPr>
        <w:t>含有毒、有害物质或者被有害物质污染，对人体健康有害的；</w:t>
      </w:r>
    </w:p>
    <w:p w14:paraId="3273FF2E">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en-US" w:eastAsia="en-US"/>
        </w:rPr>
        <w:t>含有致病性寄生虫、微生物或者微生物含量超过国家限定标准的；</w:t>
      </w:r>
    </w:p>
    <w:p w14:paraId="6371D82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en-US"/>
        </w:rPr>
        <w:t>未经动物检疫部门检疫、检验或者检疫、检验不合格的肉类及其制品；</w:t>
      </w:r>
    </w:p>
    <w:p w14:paraId="2DC30DC7">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en-US" w:eastAsia="en-US"/>
        </w:rPr>
        <w:t>病死、毒死或者死因不明的禽、蓄、兽等及其制品；</w:t>
      </w:r>
    </w:p>
    <w:p w14:paraId="39A561E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（7） </w:t>
      </w:r>
      <w:r>
        <w:rPr>
          <w:rFonts w:hint="eastAsia" w:asciiTheme="minorEastAsia" w:hAnsiTheme="minorEastAsia" w:eastAsiaTheme="minorEastAsia" w:cstheme="minorEastAsia"/>
          <w:color w:val="auto"/>
          <w:sz w:val="21"/>
          <w:szCs w:val="21"/>
          <w:highlight w:val="none"/>
          <w:lang w:val="en-US" w:eastAsia="en-US"/>
        </w:rPr>
        <w:t>掺假、掺杂、伪造，影响营养、卫生的；</w:t>
      </w:r>
    </w:p>
    <w:p w14:paraId="24760D6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en-US" w:eastAsia="en-US"/>
        </w:rPr>
        <w:t xml:space="preserve"> 用非食品原料加工的，加入非食品用化学物质或者将非食品当作食品的；</w:t>
      </w:r>
    </w:p>
    <w:p w14:paraId="1C9230A4">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en-US" w:eastAsia="en-US"/>
        </w:rPr>
        <w:t xml:space="preserve"> 超过保质期限的。</w:t>
      </w:r>
    </w:p>
    <w:p w14:paraId="061A44C2">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en-US"/>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lang w:val="en-US" w:eastAsia="en-US"/>
        </w:rPr>
        <w:t>主要商品供货要求</w:t>
      </w:r>
    </w:p>
    <w:p w14:paraId="4DB8EAAB">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en-US"/>
        </w:rPr>
      </w:pPr>
      <w:r>
        <w:rPr>
          <w:rFonts w:hint="eastAsia" w:asciiTheme="minorEastAsia" w:hAnsiTheme="minorEastAsia" w:eastAsiaTheme="minorEastAsia" w:cstheme="minorEastAsia"/>
          <w:b/>
          <w:bCs/>
          <w:color w:val="auto"/>
          <w:sz w:val="21"/>
          <w:szCs w:val="21"/>
          <w:highlight w:val="none"/>
          <w:lang w:val="en-US" w:eastAsia="zh-CN"/>
        </w:rPr>
        <w:t>（一）肉类（猪肉、鸡肉、鸭肉、鱼肉、冰鲜、牛肉等）、瓜</w:t>
      </w:r>
      <w:r>
        <w:rPr>
          <w:rFonts w:hint="eastAsia" w:asciiTheme="minorEastAsia" w:hAnsiTheme="minorEastAsia" w:eastAsiaTheme="minorEastAsia" w:cstheme="minorEastAsia"/>
          <w:b/>
          <w:bCs/>
          <w:color w:val="auto"/>
          <w:sz w:val="21"/>
          <w:szCs w:val="21"/>
          <w:highlight w:val="none"/>
          <w:lang w:val="en-US" w:eastAsia="en-US"/>
        </w:rPr>
        <w:t>菜类</w:t>
      </w:r>
      <w:r>
        <w:rPr>
          <w:rFonts w:hint="eastAsia" w:asciiTheme="minorEastAsia" w:hAnsiTheme="minorEastAsia" w:eastAsiaTheme="minorEastAsia" w:cstheme="minorEastAsia"/>
          <w:b/>
          <w:bCs/>
          <w:color w:val="auto"/>
          <w:sz w:val="21"/>
          <w:szCs w:val="21"/>
          <w:highlight w:val="none"/>
          <w:lang w:val="en-US" w:eastAsia="zh-CN"/>
        </w:rPr>
        <w:t>等品质</w:t>
      </w:r>
      <w:r>
        <w:rPr>
          <w:rFonts w:hint="eastAsia" w:asciiTheme="minorEastAsia" w:hAnsiTheme="minorEastAsia" w:eastAsiaTheme="minorEastAsia" w:cstheme="minorEastAsia"/>
          <w:b/>
          <w:bCs/>
          <w:color w:val="auto"/>
          <w:sz w:val="21"/>
          <w:szCs w:val="21"/>
          <w:highlight w:val="none"/>
          <w:lang w:val="en-US" w:eastAsia="en-US"/>
        </w:rPr>
        <w:t>要求</w:t>
      </w:r>
    </w:p>
    <w:p w14:paraId="1D84F2B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en-US"/>
        </w:rPr>
        <w:t>所有鲜肉类、禽类必须符合国家食品安全卫生标准，保证当天屠宰、无注水、无异味、无霉烂变质。鲜猪肉供货时需提供当批次有效的非洲猪瘟病毒检测合格报告，肉品检测合格报告，动物检验检疫合格证明，原件备查。（鲜肉类利用率不低于98%）。</w:t>
      </w:r>
    </w:p>
    <w:p w14:paraId="280D6D81">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en-US"/>
        </w:rPr>
        <w:t>水产类须鲜活（利用率不低于95%）。</w:t>
      </w:r>
    </w:p>
    <w:p w14:paraId="61EA09E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3.中标供应商</w:t>
      </w:r>
      <w:r>
        <w:rPr>
          <w:rFonts w:hint="eastAsia" w:asciiTheme="minorEastAsia" w:hAnsiTheme="minorEastAsia" w:eastAsiaTheme="minorEastAsia" w:cstheme="minorEastAsia"/>
          <w:color w:val="auto"/>
          <w:sz w:val="21"/>
          <w:szCs w:val="21"/>
          <w:highlight w:val="none"/>
          <w:lang w:val="en-US" w:eastAsia="en-US"/>
        </w:rPr>
        <w:t>的有效资质证明（首次供应时提供）：《企业法人营业执照》、《食品卫生许可证》、《动物防疫合格证》、《食品经营许可证》。</w:t>
      </w:r>
    </w:p>
    <w:p w14:paraId="405BA46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4.喙有光泽、干燥、无粘液； </w:t>
      </w:r>
    </w:p>
    <w:p w14:paraId="311ED73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5.口腔：光禽口腔粘膜呈淡玫瑰色，有光泽、洁净、无异味； </w:t>
      </w:r>
    </w:p>
    <w:p w14:paraId="62117290">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6.光禽眼睛明亮，充满整个眼窝； </w:t>
      </w:r>
    </w:p>
    <w:p w14:paraId="7A9709A3">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7.皮肤：光禽皮肤上毛孔隆起，表面干燥而紧缩，呈乳白色或淡黄色，稍带微红，无异味； </w:t>
      </w:r>
    </w:p>
    <w:p w14:paraId="02B0D401">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8.脂肪：光禽脂肪呈淡黄色或黄色，有光泽，无异味； </w:t>
      </w:r>
    </w:p>
    <w:p w14:paraId="12CB670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 xml:space="preserve">9.肌肉：光禽肌肉结实，有弹性，有光泽，颈、腿部肌肉呈玫瑰红色变质的光禽肌肉松驰，湿润发粘，色变暗红，有明显腐败气味； </w:t>
      </w:r>
    </w:p>
    <w:p w14:paraId="0A8329B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en-US" w:eastAsia="en-US"/>
        </w:rPr>
        <w:t>色泽：肌肉有光泽,红色均匀，脂肪乳白色，肌肉有光泽，红色或稍暗，脂肪白色。</w:t>
      </w:r>
    </w:p>
    <w:p w14:paraId="25275023">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val="en-US" w:eastAsia="en-US"/>
        </w:rPr>
        <w:t>组织状态：纤维清晰，有坚韧性，指压后凹陷立即恢复，肉质紧密，有坚韧性。</w:t>
      </w:r>
    </w:p>
    <w:p w14:paraId="5B88414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val="en-US" w:eastAsia="en-US"/>
        </w:rPr>
        <w:t>粘度：外表湿润，不粘手，外表湿润，切面有渗出液，不粘手。</w:t>
      </w:r>
    </w:p>
    <w:p w14:paraId="3D00C05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val="en-US" w:eastAsia="en-US"/>
        </w:rPr>
        <w:t>气味：具有鲜肉固有的气味，无异味，煮沸后肉汤，澄清透明，脂肪团聚于表面，澄清透明或稍有浑浊</w:t>
      </w:r>
      <w:r>
        <w:rPr>
          <w:rFonts w:hint="eastAsia" w:asciiTheme="minorEastAsia" w:hAnsiTheme="minorEastAsia" w:eastAsiaTheme="minorEastAsia" w:cstheme="minorEastAsia"/>
          <w:color w:val="auto"/>
          <w:sz w:val="21"/>
          <w:szCs w:val="21"/>
          <w:highlight w:val="none"/>
          <w:lang w:val="en-US" w:eastAsia="zh-CN"/>
        </w:rPr>
        <w:t>。</w:t>
      </w:r>
    </w:p>
    <w:p w14:paraId="2BF0BAD1">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lang w:val="en-US" w:eastAsia="en-US"/>
        </w:rPr>
        <w:t>鱼类鲜活(利用率不低于95%)。</w:t>
      </w:r>
    </w:p>
    <w:p w14:paraId="201828B4">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15.冻肉类产品</w:t>
      </w:r>
      <w:r>
        <w:rPr>
          <w:rFonts w:hint="eastAsia" w:asciiTheme="minorEastAsia" w:hAnsiTheme="minorEastAsia" w:eastAsiaTheme="minorEastAsia" w:cstheme="minorEastAsia"/>
          <w:color w:val="auto"/>
          <w:sz w:val="21"/>
          <w:szCs w:val="21"/>
          <w:highlight w:val="none"/>
          <w:lang w:val="en-US" w:eastAsia="en-US"/>
        </w:rPr>
        <w:t>色泽鲜亮、无异味、包装完好</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en-US"/>
        </w:rPr>
        <w:t>产品中间不能有过多冰块，重量必须和包装箱上标明的重量一致。</w:t>
      </w:r>
    </w:p>
    <w:p w14:paraId="265B9944">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val="en-US" w:eastAsia="en-US"/>
        </w:rPr>
        <w:t>所有</w:t>
      </w:r>
      <w:r>
        <w:rPr>
          <w:rFonts w:hint="eastAsia" w:asciiTheme="minorEastAsia" w:hAnsiTheme="minorEastAsia" w:eastAsiaTheme="minorEastAsia" w:cstheme="minorEastAsia"/>
          <w:color w:val="auto"/>
          <w:sz w:val="21"/>
          <w:szCs w:val="21"/>
          <w:highlight w:val="none"/>
          <w:lang w:val="en-US" w:eastAsia="zh-CN"/>
        </w:rPr>
        <w:t>瓜</w:t>
      </w:r>
      <w:r>
        <w:rPr>
          <w:rFonts w:hint="eastAsia" w:asciiTheme="minorEastAsia" w:hAnsiTheme="minorEastAsia" w:eastAsiaTheme="minorEastAsia" w:cstheme="minorEastAsia"/>
          <w:color w:val="auto"/>
          <w:sz w:val="21"/>
          <w:szCs w:val="21"/>
          <w:highlight w:val="none"/>
          <w:lang w:val="en-US" w:eastAsia="en-US"/>
        </w:rPr>
        <w:t>菜必须符合国家有关标准，保证新鲜、无异味、无霉烂变质。</w:t>
      </w:r>
    </w:p>
    <w:p w14:paraId="22DE60A6">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lang w:val="en-US" w:eastAsia="en-US"/>
        </w:rPr>
        <w:t>所有</w:t>
      </w:r>
      <w:r>
        <w:rPr>
          <w:rFonts w:hint="eastAsia" w:asciiTheme="minorEastAsia" w:hAnsiTheme="minorEastAsia" w:eastAsiaTheme="minorEastAsia" w:cstheme="minorEastAsia"/>
          <w:color w:val="auto"/>
          <w:sz w:val="21"/>
          <w:szCs w:val="21"/>
          <w:highlight w:val="none"/>
          <w:lang w:val="en-US" w:eastAsia="zh-CN"/>
        </w:rPr>
        <w:t>瓜</w:t>
      </w:r>
      <w:r>
        <w:rPr>
          <w:rFonts w:hint="eastAsia" w:asciiTheme="minorEastAsia" w:hAnsiTheme="minorEastAsia" w:eastAsiaTheme="minorEastAsia" w:cstheme="minorEastAsia"/>
          <w:color w:val="auto"/>
          <w:sz w:val="21"/>
          <w:szCs w:val="21"/>
          <w:highlight w:val="none"/>
          <w:lang w:val="en-US" w:eastAsia="en-US"/>
        </w:rPr>
        <w:t>菜必须保证食用安全，绝无农药等有害物质的留存。</w:t>
      </w:r>
    </w:p>
    <w:p w14:paraId="2A460EE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val="en-US" w:eastAsia="en-US"/>
        </w:rPr>
        <w:t>所有</w:t>
      </w:r>
      <w:r>
        <w:rPr>
          <w:rFonts w:hint="eastAsia" w:asciiTheme="minorEastAsia" w:hAnsiTheme="minorEastAsia" w:eastAsiaTheme="minorEastAsia" w:cstheme="minorEastAsia"/>
          <w:color w:val="auto"/>
          <w:sz w:val="21"/>
          <w:szCs w:val="21"/>
          <w:highlight w:val="none"/>
          <w:lang w:val="en-US" w:eastAsia="zh-CN"/>
        </w:rPr>
        <w:t>瓜</w:t>
      </w:r>
      <w:r>
        <w:rPr>
          <w:rFonts w:hint="eastAsia" w:asciiTheme="minorEastAsia" w:hAnsiTheme="minorEastAsia" w:eastAsiaTheme="minorEastAsia" w:cstheme="minorEastAsia"/>
          <w:color w:val="auto"/>
          <w:sz w:val="21"/>
          <w:szCs w:val="21"/>
          <w:highlight w:val="none"/>
          <w:lang w:val="en-US" w:eastAsia="en-US"/>
        </w:rPr>
        <w:t>菜在交付</w:t>
      </w:r>
      <w:r>
        <w:rPr>
          <w:rFonts w:hint="eastAsia" w:asciiTheme="minorEastAsia" w:hAnsiTheme="minorEastAsia" w:eastAsiaTheme="minorEastAsia" w:cstheme="minorEastAsia"/>
          <w:color w:val="auto"/>
          <w:sz w:val="21"/>
          <w:szCs w:val="21"/>
          <w:highlight w:val="none"/>
          <w:lang w:val="en-US" w:eastAsia="zh-CN"/>
        </w:rPr>
        <w:t>采购单位</w:t>
      </w:r>
      <w:r>
        <w:rPr>
          <w:rFonts w:hint="eastAsia" w:asciiTheme="minorEastAsia" w:hAnsiTheme="minorEastAsia" w:eastAsiaTheme="minorEastAsia" w:cstheme="minorEastAsia"/>
          <w:color w:val="auto"/>
          <w:sz w:val="21"/>
          <w:szCs w:val="21"/>
          <w:highlight w:val="none"/>
          <w:lang w:val="en-US" w:eastAsia="en-US"/>
        </w:rPr>
        <w:t>前必须经过前期处理，处理率达到95%以上。</w:t>
      </w:r>
    </w:p>
    <w:p w14:paraId="220EC29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val="en-US" w:eastAsia="en-US"/>
        </w:rPr>
        <w:t>水量：充足、但无过份萎蔫、皱皮。</w:t>
      </w:r>
    </w:p>
    <w:p w14:paraId="67B7D413">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en-US" w:eastAsia="en-US"/>
        </w:rPr>
        <w:t>色泽：正常、无变色、光泽、学亮鲜艳。</w:t>
      </w:r>
    </w:p>
    <w:p w14:paraId="6AA65067">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lang w:val="en-US" w:eastAsia="en-US"/>
        </w:rPr>
        <w:t>硬度：叶菜挺立、爪菜饱满、结实、无空心、根菜略硬。</w:t>
      </w:r>
    </w:p>
    <w:p w14:paraId="48E62BA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lang w:val="en-US" w:eastAsia="en-US"/>
        </w:rPr>
        <w:t>机械伤：相同新鲜条件下无外力造成伤害：挤伤、压伤、碰伤切口、裂伤等。</w:t>
      </w:r>
    </w:p>
    <w:p w14:paraId="7D1F2D3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lang w:val="en-US" w:eastAsia="en-US"/>
        </w:rPr>
        <w:t>病虫害：无虫害、虫嗑、无残虫卵。</w:t>
      </w:r>
    </w:p>
    <w:p w14:paraId="60327A5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val="en-US" w:eastAsia="en-US"/>
        </w:rPr>
        <w:t>形状：枝叶丰满、大小适中、曲线谐调。</w:t>
      </w:r>
    </w:p>
    <w:p w14:paraId="6A2E709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val="en-US" w:eastAsia="en-US"/>
        </w:rPr>
        <w:t>成熟度：适中、无未熟过识、腐烂。</w:t>
      </w:r>
    </w:p>
    <w:p w14:paraId="123B9AB7">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lang w:val="en-US" w:eastAsia="en-US"/>
        </w:rPr>
        <w:t>污染：无污染、残留农药、运输造成的污染。</w:t>
      </w:r>
    </w:p>
    <w:p w14:paraId="346AECF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lang w:val="en-US" w:eastAsia="en-US"/>
        </w:rPr>
        <w:t>叶菜类：挺实、全味正、颜色好、无过多黄叶、腐烂叶与多泥根，水份充足、无萎蔫、不成熟现象。</w:t>
      </w:r>
    </w:p>
    <w:p w14:paraId="759A50E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lang w:val="en-US" w:eastAsia="en-US"/>
        </w:rPr>
        <w:t>瓜菜类：个大、成熟、新鲜、外皮无斑点、有新鲜绿秧、无软化、变质现象。</w:t>
      </w:r>
    </w:p>
    <w:p w14:paraId="5CC3AFF4">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lang w:val="en-US" w:eastAsia="en-US"/>
        </w:rPr>
        <w:t>根菜类：挺实、无软化、腐烂、带泥过多、色泽正常、形状正常、无生芽现象。</w:t>
      </w:r>
    </w:p>
    <w:p w14:paraId="5F9A132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lang w:val="en-US" w:eastAsia="en-US"/>
        </w:rPr>
        <w:t>薯芋类：色泽一致，不带泥沙，不带须根、茎叶，不干瘪，无腐烂、畸形、异味、明显机械伤、病虫害斑，马铃薯无发芽，皮不变绿。</w:t>
      </w:r>
    </w:p>
    <w:p w14:paraId="266CD5E9">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lang w:val="en-US" w:eastAsia="en-US"/>
        </w:rPr>
        <w:t>葱蒜类：允许葱、青蒜类保留干净须根，葱、蒜、韭菜不带老叶，蒜头、洋葱去根去枯叶，可食部分新鲜幼嫩，无腐烂、畸形、异味。</w:t>
      </w:r>
    </w:p>
    <w:p w14:paraId="2313024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lang w:val="en-US" w:eastAsia="en-US"/>
        </w:rPr>
        <w:t>芽苗类：芽苗幼嫩，不带豆壳杂质，新鲜，不浸水，无腐烂、异味。</w:t>
      </w:r>
    </w:p>
    <w:p w14:paraId="33762E3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lang w:val="en-US" w:eastAsia="en-US"/>
        </w:rPr>
        <w:t>豆腐：呈均匀的乳白色或淡黄色，稍有光泽，块形完整，软硬适度，富有一定的弹性，质地细嫩、结构均匀、无杂质，具有豆腐特有的香味，取样品品尝时口感细腻鲜嫩，味道纯正清香。</w:t>
      </w:r>
    </w:p>
    <w:p w14:paraId="2C29543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34.生姜：不泡水、不</w:t>
      </w:r>
      <w:r>
        <w:rPr>
          <w:rFonts w:hint="eastAsia" w:asciiTheme="minorEastAsia" w:hAnsiTheme="minorEastAsia" w:eastAsiaTheme="minorEastAsia" w:cstheme="minorEastAsia"/>
          <w:color w:val="auto"/>
          <w:sz w:val="21"/>
          <w:szCs w:val="21"/>
          <w:highlight w:val="none"/>
          <w:lang w:val="en-US" w:eastAsia="en-US"/>
        </w:rPr>
        <w:t>腐</w:t>
      </w:r>
      <w:r>
        <w:rPr>
          <w:rFonts w:hint="eastAsia" w:asciiTheme="minorEastAsia" w:hAnsiTheme="minorEastAsia" w:eastAsiaTheme="minorEastAsia" w:cstheme="minorEastAsia"/>
          <w:color w:val="auto"/>
          <w:sz w:val="21"/>
          <w:szCs w:val="21"/>
          <w:highlight w:val="none"/>
          <w:lang w:val="en-US" w:eastAsia="zh-CN"/>
        </w:rPr>
        <w:t>烂。</w:t>
      </w:r>
    </w:p>
    <w:p w14:paraId="6F662680">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（二）包点、粉类等品质要求</w:t>
      </w:r>
    </w:p>
    <w:p w14:paraId="40B3F9C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所提供产品必须符合国家食品安全法规及相关国家标准（糕点、面包类）。</w:t>
      </w:r>
    </w:p>
    <w:p w14:paraId="196F7BC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形态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完整，丰满，无黑泡或明显焦斑，形状应与品种造型相符。</w:t>
      </w:r>
    </w:p>
    <w:p w14:paraId="5941A376">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色泽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金黄色、淡棕色或棕灰色，色泽均匀、正常。</w:t>
      </w:r>
    </w:p>
    <w:p w14:paraId="27ACD16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组织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细腻，有弹性，气孔均匀，纹理清晰，呈海绵状。符合产品应有的组织。</w:t>
      </w:r>
    </w:p>
    <w:p w14:paraId="4AFD3F34">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滋味、口感:具有发酵和烘烤后的面包香味，松软适口，无异味。</w:t>
      </w:r>
    </w:p>
    <w:p w14:paraId="16F3A2FE">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杂质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正常视力无可见的外来异物。</w:t>
      </w:r>
    </w:p>
    <w:p w14:paraId="5A612C71">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en-US"/>
        </w:rPr>
      </w:pPr>
      <w:r>
        <w:rPr>
          <w:rFonts w:hint="eastAsia" w:asciiTheme="minorEastAsia" w:hAnsiTheme="minorEastAsia" w:eastAsiaTheme="minorEastAsia" w:cstheme="minorEastAsia"/>
          <w:b/>
          <w:bCs/>
          <w:color w:val="auto"/>
          <w:sz w:val="21"/>
          <w:szCs w:val="21"/>
          <w:highlight w:val="none"/>
          <w:lang w:val="en-US" w:eastAsia="zh-CN"/>
        </w:rPr>
        <w:t>（三）大米</w:t>
      </w:r>
      <w:r>
        <w:rPr>
          <w:rFonts w:hint="eastAsia" w:asciiTheme="minorEastAsia" w:hAnsiTheme="minorEastAsia" w:eastAsiaTheme="minorEastAsia" w:cstheme="minorEastAsia"/>
          <w:b/>
          <w:bCs/>
          <w:color w:val="auto"/>
          <w:sz w:val="21"/>
          <w:szCs w:val="21"/>
          <w:highlight w:val="none"/>
          <w:lang w:val="en-US" w:eastAsia="en-US"/>
        </w:rPr>
        <w:t>、油、干货、调味</w:t>
      </w:r>
      <w:r>
        <w:rPr>
          <w:rFonts w:hint="eastAsia" w:asciiTheme="minorEastAsia" w:hAnsiTheme="minorEastAsia" w:eastAsiaTheme="minorEastAsia" w:cstheme="minorEastAsia"/>
          <w:b/>
          <w:bCs/>
          <w:color w:val="auto"/>
          <w:sz w:val="21"/>
          <w:szCs w:val="21"/>
          <w:highlight w:val="none"/>
          <w:lang w:val="en-US" w:eastAsia="zh-CN"/>
        </w:rPr>
        <w:t>及副食</w:t>
      </w:r>
      <w:r>
        <w:rPr>
          <w:rFonts w:hint="eastAsia" w:asciiTheme="minorEastAsia" w:hAnsiTheme="minorEastAsia" w:eastAsiaTheme="minorEastAsia" w:cstheme="minorEastAsia"/>
          <w:b/>
          <w:bCs/>
          <w:color w:val="auto"/>
          <w:sz w:val="21"/>
          <w:szCs w:val="21"/>
          <w:highlight w:val="none"/>
          <w:lang w:val="en-US" w:eastAsia="en-US"/>
        </w:rPr>
        <w:t>类</w:t>
      </w:r>
      <w:r>
        <w:rPr>
          <w:rFonts w:hint="eastAsia" w:asciiTheme="minorEastAsia" w:hAnsiTheme="minorEastAsia" w:eastAsiaTheme="minorEastAsia" w:cstheme="minorEastAsia"/>
          <w:b/>
          <w:bCs/>
          <w:color w:val="auto"/>
          <w:sz w:val="21"/>
          <w:szCs w:val="21"/>
          <w:highlight w:val="none"/>
          <w:lang w:val="en-US" w:eastAsia="zh-CN"/>
        </w:rPr>
        <w:t>等品质要求</w:t>
      </w:r>
    </w:p>
    <w:p w14:paraId="62401B4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en-US"/>
        </w:rPr>
        <w:t>有“SC”标志，标明加工厂名称、品名、生产日期、保质期和有效期，供货时的剩余保质期不少于三分之二，质量等级、产品标准号、产品合格证，质量符合大米国家标准（GB1354-2009）与国家粮食卫生标准（GB2715-2005）。</w:t>
      </w:r>
    </w:p>
    <w:p w14:paraId="63A37E9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en-US"/>
        </w:rPr>
        <w:t>具有固有色泽和香味，无污染、无虫害，色泽、气味、口味正常，无异味或霉味（霉变），无虫蛀结块挂丝或杂质异</w:t>
      </w:r>
      <w:r>
        <w:rPr>
          <w:rFonts w:hint="eastAsia" w:asciiTheme="minorEastAsia" w:hAnsiTheme="minorEastAsia" w:eastAsiaTheme="minorEastAsia" w:cstheme="minorEastAsia"/>
          <w:color w:val="auto"/>
          <w:sz w:val="21"/>
          <w:szCs w:val="21"/>
          <w:highlight w:val="none"/>
          <w:lang w:val="en-US" w:eastAsia="zh-CN"/>
        </w:rPr>
        <w:t>味</w:t>
      </w:r>
      <w:r>
        <w:rPr>
          <w:rFonts w:hint="eastAsia" w:asciiTheme="minorEastAsia" w:hAnsiTheme="minorEastAsia" w:eastAsiaTheme="minorEastAsia" w:cstheme="minorEastAsia"/>
          <w:color w:val="auto"/>
          <w:sz w:val="21"/>
          <w:szCs w:val="21"/>
          <w:highlight w:val="none"/>
          <w:lang w:val="en-US" w:eastAsia="en-US"/>
        </w:rPr>
        <w:t>等，符合国家粮食卫生标准。</w:t>
      </w:r>
    </w:p>
    <w:p w14:paraId="233BD5F0">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基本要求：外包装完好，有SC标志，标明厂址、厂名、重量、生产日期、保质期或保存期、执行标准，剩余保质期不少于三分之二，具有当批次产品合格证明。具有正常植物油的色泽、透明度、气味和滋味，无焦臭、酸败及其他异味。</w:t>
      </w:r>
    </w:p>
    <w:p w14:paraId="61B1EBE1">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食用油生产企业的资质证明（首次供应时提供）：《企业法人营业执照》、《全国工业产品生产许可证》。</w:t>
      </w:r>
    </w:p>
    <w:p w14:paraId="7A9C3EFE">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要求包装密封口，不得提供散装油。</w:t>
      </w:r>
    </w:p>
    <w:p w14:paraId="7FD0E53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气味、滋味：具有固有的气味和滋味，无异味；</w:t>
      </w:r>
    </w:p>
    <w:p w14:paraId="3F8649D9">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加热试验（280℃）油色不得变深，无析出物；</w:t>
      </w:r>
    </w:p>
    <w:p w14:paraId="73FCBAB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不得混有其他食用油或非食用油；</w:t>
      </w:r>
    </w:p>
    <w:p w14:paraId="51B8566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en-US" w:eastAsia="en-US"/>
        </w:rPr>
        <w:t>必须选用符合国家食品安全法规及相关国家标准的商品，选用无毒、无害、无污染、可朔源的食品。掺假、掺杂食品坚决不能使用。</w:t>
      </w:r>
    </w:p>
    <w:p w14:paraId="28DFE95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en-US" w:eastAsia="en-US"/>
        </w:rPr>
        <w:t>副食品等级标准要相符，其包装盒或标签上须注明食品名称、生产厂家、厂址、生产日期、食品的主要原料成份、食品保质期和QS/SC认证标志等信息，注明不详或没有注明的商品不予验收。</w:t>
      </w:r>
    </w:p>
    <w:p w14:paraId="13F4B3D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val="en-US" w:eastAsia="en-US"/>
        </w:rPr>
        <w:t>副食品表面外观新鲜、完整，无霉变异味，无砂粒杂质，无虫尸鼠粪等不洁卫生问题。</w:t>
      </w:r>
    </w:p>
    <w:p w14:paraId="06D1789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en-US"/>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val="en-US" w:eastAsia="en-US"/>
        </w:rPr>
        <w:t>须为正规厂家的产品，为一级以上的优质品，有生产厂家、生产日期和保质期。</w:t>
      </w:r>
    </w:p>
    <w:p w14:paraId="6CA2137F">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13.所有</w:t>
      </w:r>
      <w:r>
        <w:rPr>
          <w:rFonts w:hint="eastAsia" w:asciiTheme="minorEastAsia" w:hAnsiTheme="minorEastAsia" w:eastAsiaTheme="minorEastAsia" w:cstheme="minorEastAsia"/>
          <w:color w:val="auto"/>
          <w:sz w:val="21"/>
          <w:szCs w:val="21"/>
          <w:highlight w:val="none"/>
          <w:lang w:val="en-US" w:eastAsia="en-US"/>
        </w:rPr>
        <w:t>副食品</w:t>
      </w:r>
      <w:r>
        <w:rPr>
          <w:rFonts w:hint="eastAsia" w:asciiTheme="minorEastAsia" w:hAnsiTheme="minorEastAsia" w:eastAsiaTheme="minorEastAsia" w:cstheme="minorEastAsia"/>
          <w:color w:val="auto"/>
          <w:sz w:val="21"/>
          <w:szCs w:val="21"/>
          <w:highlight w:val="none"/>
          <w:lang w:val="en-US" w:eastAsia="zh-CN"/>
        </w:rPr>
        <w:t>包装要求未开封包装，特殊商品经双方约定除外。</w:t>
      </w:r>
    </w:p>
    <w:p w14:paraId="28465211">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六、其他要求</w:t>
      </w:r>
    </w:p>
    <w:p w14:paraId="78E5A7C8">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（一）对中标供应商的管理要求</w:t>
      </w:r>
    </w:p>
    <w:p w14:paraId="032160B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必须依据国家有关法律法规要求建立健全各项管理制度，保证食品安全；有明确的食品安全责任人。</w:t>
      </w:r>
    </w:p>
    <w:p w14:paraId="58D1BF1F">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在接到通知后备齐货物，按时送抵交货地点。</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除不可抗力，不得因其他任何理由延迟送货。</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如遇特殊情况需推迟送货，应提前通知</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不能按时、按质、按量供货，导致</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无法正常供应伙食的，</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有权自行采购同等质量的货物，由此造成的经济损失和责任均由</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承担，并承担违约责任。</w:t>
      </w:r>
    </w:p>
    <w:p w14:paraId="425780B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应严格按招标要求（含品种、质量等）供应，不得变更供应商品，否则，</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有权退货。</w:t>
      </w:r>
    </w:p>
    <w:p w14:paraId="366F999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食品溯源要求：食品供应链必须明确，所有食品的来源必须清晰，来源应当是受到地方政府部门监管的流通市场或具有相关资质的厂家生产，食品生产企业必须获得全国工业产品生产许可（QS/SC），生产食品的源头与</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要有固定的合法的供应关系。</w:t>
      </w:r>
    </w:p>
    <w:p w14:paraId="1E9950E2">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（二）食品质量的基本检查</w:t>
      </w:r>
    </w:p>
    <w:p w14:paraId="7B05F0B7">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应充分理解并认真遵循本</w:t>
      </w:r>
      <w:r>
        <w:rPr>
          <w:rFonts w:hint="eastAsia" w:asciiTheme="minorEastAsia" w:hAnsiTheme="minorEastAsia" w:eastAsiaTheme="minorEastAsia" w:cstheme="minorEastAsia"/>
          <w:color w:val="auto"/>
          <w:sz w:val="21"/>
          <w:szCs w:val="21"/>
          <w:highlight w:val="none"/>
          <w:lang w:eastAsia="zh-CN"/>
        </w:rPr>
        <w:t>用户需求书</w:t>
      </w:r>
      <w:r>
        <w:rPr>
          <w:rFonts w:hint="eastAsia" w:asciiTheme="minorEastAsia" w:hAnsiTheme="minorEastAsia" w:eastAsiaTheme="minorEastAsia" w:cstheme="minorEastAsia"/>
          <w:color w:val="auto"/>
          <w:sz w:val="21"/>
          <w:szCs w:val="21"/>
          <w:highlight w:val="none"/>
        </w:rPr>
        <w:t>的要求，所提供的货物必须是满足</w:t>
      </w:r>
      <w:r>
        <w:rPr>
          <w:rFonts w:hint="eastAsia" w:asciiTheme="minorEastAsia" w:hAnsiTheme="minorEastAsia" w:eastAsiaTheme="minorEastAsia" w:cstheme="minorEastAsia"/>
          <w:color w:val="auto"/>
          <w:sz w:val="21"/>
          <w:szCs w:val="21"/>
          <w:highlight w:val="none"/>
          <w:lang w:eastAsia="zh-CN"/>
        </w:rPr>
        <w:t>用户需求书</w:t>
      </w:r>
      <w:r>
        <w:rPr>
          <w:rFonts w:hint="eastAsia" w:asciiTheme="minorEastAsia" w:hAnsiTheme="minorEastAsia" w:eastAsiaTheme="minorEastAsia" w:cstheme="minorEastAsia"/>
          <w:color w:val="auto"/>
          <w:sz w:val="21"/>
          <w:szCs w:val="21"/>
          <w:highlight w:val="none"/>
        </w:rPr>
        <w:t>要求。保证合同货品均为正规生产的新鲜（冰鲜除外）、检验合格、无毒、诚实、无辐射、无侵权货品，符合国家有关质量、包装和保质标准，有使用有效期的货品，其剩余有效期不得少于标注有效期的80%。</w:t>
      </w:r>
    </w:p>
    <w:p w14:paraId="2BCE8640">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食品应清洁，并符合企业相关验收标准；食品应无损伤、腐烂现象，无寄生虫或已受虫害现象；对温度有要求的食品应确定食品的温度与包装上指示温度一致。</w:t>
      </w:r>
    </w:p>
    <w:p w14:paraId="6C5D3D37">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货物有包装的，货物的包装必须完整清洁（无损、无污、无皱）。冷冻食品没有曾经解冻痕迹或软化现象，包装呈干爽状态。</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有权拒收包装不整齐、已拆封的和重量与包装标明重量不相符的商品。</w:t>
      </w:r>
    </w:p>
    <w:p w14:paraId="347BED7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发现商品出现损坏（包括表面损坏），或出现水渍、串味、受潮等导致货物性质改变的，</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必须无条件退货或更换商品。</w:t>
      </w:r>
    </w:p>
    <w:p w14:paraId="0091AB5E">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对食品检查如下：</w:t>
      </w:r>
    </w:p>
    <w:p w14:paraId="65022C8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供应的食品必须符合国家食品药品监督管理部门的有关法规要求或标准，如无标准，按行业规范。采购生产、经营证明文件齐备，明确食品来源，并具有检验合格证明。严禁采购有害、有毒、腐烂变质、酸败、霉变、生虫、污垢不洁、混有异物或其他感官性状异常的食品。禁止采购超过保质期限的食品。</w:t>
      </w:r>
    </w:p>
    <w:p w14:paraId="2F5D9FD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）食品包装必须符合国家规范。采购的食品不得存放在有害、有毒的容器内。食品包装上必须使用原产地标识，应注明：制造商名称和厂址、食品名称和重（容）量、生产日期和保质期限以及规格和QS/SC 认证等。</w:t>
      </w:r>
    </w:p>
    <w:p w14:paraId="526C5F4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）对不符合采购要求的食品由验收人员提出清退，退货前应实行留版备案，如双方对质量争议可送国家质监部门检测。对缺斤短两（或含水量超标）的应按实际重量扣减。</w:t>
      </w:r>
    </w:p>
    <w:p w14:paraId="3F26ACA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应能够配合</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及时更新所提供的符合卫监部门的有效证明材料。如有效的营业执照、产品合格证、食品经营许可证等。</w:t>
      </w:r>
    </w:p>
    <w:p w14:paraId="2999FF3F">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提供假冒伪劣、过期、变质的、有毒食品的，一经发现，除按</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要求无条件退货或换货外，还将受到如下处罚：</w:t>
      </w:r>
    </w:p>
    <w:p w14:paraId="03D996AA">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提供假冒伪劣、过期、变质食品的，要求无条件退货或换货外，被处以当次供应食品货款</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倍的罚款，罚款由供货结算款内扣除。</w:t>
      </w:r>
    </w:p>
    <w:p w14:paraId="01E685A6">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中标供应商提供有毒食品的，造成食品安全事故的，经有关单位鉴定原因后，如确实为中标供应商提供之食品问题，中标供应商除需负担全数之医药费外，采购单位有权终止合同，中标供应商同时承担相应的民事及刑事法律责任及放弃先诉抗辩权。</w:t>
      </w:r>
    </w:p>
    <w:p w14:paraId="0477BA84">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（三）食品验收要求</w:t>
      </w:r>
    </w:p>
    <w:p w14:paraId="64ED7FD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项目验收依次序对照执行标准：</w:t>
      </w:r>
    </w:p>
    <w:p w14:paraId="2BB34114">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符合中华人民共和国国家和履约地相关安全质量标准、行业技术规范标准；</w:t>
      </w:r>
    </w:p>
    <w:p w14:paraId="5268154F">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符合</w:t>
      </w:r>
      <w:r>
        <w:rPr>
          <w:rFonts w:hint="eastAsia" w:asciiTheme="minorEastAsia" w:hAnsiTheme="minorEastAsia" w:eastAsiaTheme="minorEastAsia" w:cstheme="minorEastAsia"/>
          <w:color w:val="auto"/>
          <w:sz w:val="21"/>
          <w:szCs w:val="21"/>
          <w:highlight w:val="none"/>
          <w:lang w:eastAsia="zh-CN"/>
        </w:rPr>
        <w:t>用户需求书</w:t>
      </w:r>
      <w:r>
        <w:rPr>
          <w:rFonts w:hint="eastAsia" w:asciiTheme="minorEastAsia" w:hAnsiTheme="minorEastAsia" w:eastAsiaTheme="minorEastAsia" w:cstheme="minorEastAsia"/>
          <w:color w:val="auto"/>
          <w:sz w:val="21"/>
          <w:szCs w:val="21"/>
          <w:highlight w:val="none"/>
        </w:rPr>
        <w:t>和响应承诺中各方共同认可的各项要求；</w:t>
      </w:r>
    </w:p>
    <w:p w14:paraId="7C01C05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符合货物来源国官方颁布标准。</w:t>
      </w:r>
    </w:p>
    <w:p w14:paraId="7060B54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上述各类标准与法规必须是有关官方机构最新发布的现行标准版本。</w:t>
      </w:r>
    </w:p>
    <w:p w14:paraId="1E962CE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做好卸货前的检查。</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双方的验收人员卸货前应对场地和验收设备做好准备，并对商品的外观质量进行初步了解。如发现食品有损坏情况等，应在相关单据上记录损坏情况，建议对损坏情况进行拍照存档。保证斤两的准确性，经</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的验货数量为准，</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每次随货送上一式两份的送货单，</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验货后签订确认，</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双方各持一份，作为收货、结算的凭证。</w:t>
      </w:r>
    </w:p>
    <w:p w14:paraId="63FDFB8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食品运输必须采用符合国家标准的外包装和运输工具，保持清洁和定期消毒，车厢内无不良气味、异味。冷藏、冷冻食品在运输过程中保持安全的冷藏、冷冻温度，冷冻食品没有曾经解冻痕迹或软化现象，包装呈干爽状态。食品应清洁，无损伤、腐烂现象，外包装完整，无寄生虫或已受虫害现象。</w:t>
      </w:r>
    </w:p>
    <w:p w14:paraId="3CAF6EE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采取现场验收的方式，验收人员应认真检查物资的质量，按索票—验证—抽查—过磅—入库的程序完成验收，</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可提供原件的留原件，原件只有一份而无法提供给</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的查验原件后索取复印件留存。</w:t>
      </w:r>
    </w:p>
    <w:p w14:paraId="5F23BA3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每批次每种货物均抽查验收。</w:t>
      </w:r>
    </w:p>
    <w:p w14:paraId="149409E1">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按后附产品质量描述对货物质量进行抽查。</w:t>
      </w:r>
    </w:p>
    <w:p w14:paraId="389FEACF">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抽查发现食品安全质量问题的处理：</w:t>
      </w:r>
    </w:p>
    <w:p w14:paraId="079D8DBE">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对危及人身安全的食品质量问题采取零容忍措施，一经发现，当日所送同批次产品全部退货，如发现腐败变质肉类等；</w:t>
      </w:r>
    </w:p>
    <w:p w14:paraId="747943C8">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若抽查未发现问题，而在加工食用前发现部分产品质量问题，应立即通知</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单位</w:t>
      </w:r>
      <w:r>
        <w:rPr>
          <w:rFonts w:hint="eastAsia" w:asciiTheme="minorEastAsia" w:hAnsiTheme="minorEastAsia" w:eastAsiaTheme="minorEastAsia" w:cstheme="minorEastAsia"/>
          <w:color w:val="auto"/>
          <w:sz w:val="21"/>
          <w:szCs w:val="21"/>
          <w:highlight w:val="none"/>
          <w:lang w:eastAsia="zh-CN"/>
        </w:rPr>
        <w:t>食品安全</w:t>
      </w:r>
      <w:r>
        <w:rPr>
          <w:rFonts w:hint="eastAsia" w:asciiTheme="minorEastAsia" w:hAnsiTheme="minorEastAsia" w:eastAsiaTheme="minorEastAsia" w:cstheme="minorEastAsia"/>
          <w:color w:val="auto"/>
          <w:sz w:val="21"/>
          <w:szCs w:val="21"/>
          <w:highlight w:val="none"/>
        </w:rPr>
        <w:t>验收小组及</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，将问题产品退货处理。</w:t>
      </w:r>
    </w:p>
    <w:p w14:paraId="4D7390C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8.动物产品</w:t>
      </w:r>
      <w:r>
        <w:rPr>
          <w:rFonts w:hint="eastAsia" w:asciiTheme="minorEastAsia" w:hAnsiTheme="minorEastAsia" w:eastAsiaTheme="minorEastAsia" w:cstheme="minorEastAsia"/>
          <w:color w:val="auto"/>
          <w:sz w:val="21"/>
          <w:szCs w:val="21"/>
          <w:highlight w:val="none"/>
        </w:rPr>
        <w:t>抽查发现资质证照不全问题的处理：</w:t>
      </w:r>
    </w:p>
    <w:p w14:paraId="58BF4AB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整批产品无政府部门出具的动植物检疫合格证明的全部退货；</w:t>
      </w:r>
    </w:p>
    <w:p w14:paraId="5D54CBE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抽查发现部分产品无政府部门出具的动植物检疫合格证明，加抽15%，两次抽查数50%以上没有动植物检疫合格证明的，全部退货；没有动植物检疫合格证明的，将无动植物检疫合格证明的货物退货；</w:t>
      </w:r>
    </w:p>
    <w:p w14:paraId="68C6C0D3">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整批产品有省地市出具的动植物检疫合格证明，随箱产品合格证不齐全的，加抽15%，两次抽查数50%以上没有产品合格证的，全部退货；没有产品合格证明的，将无产品合格证明的货物退货。</w:t>
      </w:r>
    </w:p>
    <w:p w14:paraId="00CA3969">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货物的质量问题争议及解决办法：因货物的质量问题发生争议，由</w:t>
      </w:r>
      <w:r>
        <w:rPr>
          <w:rFonts w:hint="eastAsia" w:asciiTheme="minorEastAsia" w:hAnsiTheme="minorEastAsia" w:eastAsiaTheme="minorEastAsia" w:cstheme="minorEastAsia"/>
          <w:color w:val="auto"/>
          <w:sz w:val="21"/>
          <w:szCs w:val="21"/>
          <w:highlight w:val="none"/>
          <w:lang w:val="en-US" w:eastAsia="zh-CN"/>
        </w:rPr>
        <w:t>郁南县市场</w:t>
      </w:r>
      <w:r>
        <w:rPr>
          <w:rFonts w:hint="eastAsia" w:asciiTheme="minorEastAsia" w:hAnsiTheme="minorEastAsia" w:eastAsiaTheme="minorEastAsia" w:cstheme="minorEastAsia"/>
          <w:color w:val="auto"/>
          <w:sz w:val="21"/>
          <w:szCs w:val="21"/>
          <w:highlight w:val="none"/>
        </w:rPr>
        <w:t>监督</w:t>
      </w:r>
      <w:r>
        <w:rPr>
          <w:rFonts w:hint="eastAsia" w:asciiTheme="minorEastAsia" w:hAnsiTheme="minorEastAsia" w:eastAsiaTheme="minorEastAsia" w:cstheme="minorEastAsia"/>
          <w:color w:val="auto"/>
          <w:sz w:val="21"/>
          <w:szCs w:val="21"/>
          <w:highlight w:val="none"/>
          <w:lang w:val="en-US" w:eastAsia="zh-CN"/>
        </w:rPr>
        <w:t>管理</w:t>
      </w:r>
      <w:r>
        <w:rPr>
          <w:rFonts w:hint="eastAsia" w:asciiTheme="minorEastAsia" w:hAnsiTheme="minorEastAsia" w:eastAsiaTheme="minorEastAsia" w:cstheme="minorEastAsia"/>
          <w:color w:val="auto"/>
          <w:sz w:val="21"/>
          <w:szCs w:val="21"/>
          <w:highlight w:val="none"/>
        </w:rPr>
        <w:t>局或国家法定的质量鉴定相关单位进行质量鉴定。货物符合质量标准的，鉴定费由</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承担；货物不符合质量标准的，鉴定费由</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承担，并且</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有权追究</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的相关责任。</w:t>
      </w:r>
    </w:p>
    <w:p w14:paraId="7C51504A">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（四）售后服务要求</w:t>
      </w:r>
    </w:p>
    <w:p w14:paraId="76DC47CD">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需制定好食品配送售后服务方案，以确保退（补）货作业在需要时能够及时完成。</w:t>
      </w:r>
    </w:p>
    <w:p w14:paraId="728020E2">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如</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需要临时增加补货，</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必须</w:t>
      </w:r>
      <w:r>
        <w:rPr>
          <w:rFonts w:hint="eastAsia" w:asciiTheme="minorEastAsia" w:hAnsiTheme="minorEastAsia" w:eastAsiaTheme="minorEastAsia" w:cstheme="minorEastAsia"/>
          <w:color w:val="auto"/>
          <w:sz w:val="21"/>
          <w:szCs w:val="21"/>
          <w:highlight w:val="none"/>
          <w:lang w:eastAsia="zh-CN"/>
        </w:rPr>
        <w:t>在采购单位</w:t>
      </w:r>
      <w:r>
        <w:rPr>
          <w:rFonts w:hint="eastAsia" w:asciiTheme="minorEastAsia" w:hAnsiTheme="minorEastAsia" w:eastAsiaTheme="minorEastAsia" w:cstheme="minorEastAsia"/>
          <w:color w:val="auto"/>
          <w:sz w:val="21"/>
          <w:szCs w:val="21"/>
          <w:highlight w:val="none"/>
        </w:rPr>
        <w:t>规定时间内将货物保质保量送到</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指定地点。</w:t>
      </w:r>
    </w:p>
    <w:p w14:paraId="69339A33">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对不符合质量要求的食品由</w:t>
      </w:r>
      <w:r>
        <w:rPr>
          <w:rFonts w:hint="eastAsia" w:asciiTheme="minorEastAsia" w:hAnsiTheme="minorEastAsia" w:eastAsiaTheme="minorEastAsia" w:cstheme="minorEastAsia"/>
          <w:color w:val="auto"/>
          <w:sz w:val="21"/>
          <w:szCs w:val="21"/>
          <w:highlight w:val="none"/>
          <w:lang w:eastAsia="zh-CN"/>
        </w:rPr>
        <w:t>采购单位安排</w:t>
      </w:r>
      <w:r>
        <w:rPr>
          <w:rFonts w:hint="eastAsia" w:asciiTheme="minorEastAsia" w:hAnsiTheme="minorEastAsia" w:eastAsiaTheme="minorEastAsia" w:cstheme="minorEastAsia"/>
          <w:color w:val="auto"/>
          <w:sz w:val="21"/>
          <w:szCs w:val="21"/>
          <w:highlight w:val="none"/>
        </w:rPr>
        <w:t>验收人员提出清退，如双方对质量或重量有争议的可送具有检验资质的部门检测，同时留样备检，对数量不足或部分退货的，责成</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以不影响食堂供应为前提尽快补送。在退货过程中，对有碍公共卫生安全的食品，应按国家有关规定处理或进行协议销毁，不退货给</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w:t>
      </w:r>
    </w:p>
    <w:p w14:paraId="5D444DAD">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（五）违约及安全事故处理措施</w:t>
      </w:r>
    </w:p>
    <w:p w14:paraId="1A294986">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对供货期间出现下列情况之一的，</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有权无条件单方面终止合同：</w:t>
      </w:r>
    </w:p>
    <w:p w14:paraId="3AD7C32B">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因配送原材料问题，发生师生食物中毒等食材安全责任事故，且造成严重后果的</w:t>
      </w:r>
      <w:r>
        <w:rPr>
          <w:rFonts w:hint="eastAsia" w:asciiTheme="minorEastAsia" w:hAnsiTheme="minorEastAsia" w:eastAsiaTheme="minorEastAsia" w:cstheme="minorEastAsia"/>
          <w:color w:val="auto"/>
          <w:sz w:val="21"/>
          <w:szCs w:val="21"/>
          <w:highlight w:val="none"/>
          <w:lang w:eastAsia="zh-CN"/>
        </w:rPr>
        <w:t>一切责任由中标供应商负责</w:t>
      </w:r>
      <w:r>
        <w:rPr>
          <w:rFonts w:hint="eastAsia" w:asciiTheme="minorEastAsia" w:hAnsiTheme="minorEastAsia" w:eastAsiaTheme="minorEastAsia" w:cstheme="minorEastAsia"/>
          <w:color w:val="auto"/>
          <w:sz w:val="21"/>
          <w:szCs w:val="21"/>
          <w:highlight w:val="none"/>
        </w:rPr>
        <w:t>。</w:t>
      </w:r>
    </w:p>
    <w:p w14:paraId="11A74E20">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在原材料配送过程中，存在掺杂作假，销售劣质、有害过期或无证食品等违规行为，经学校规劝，或经教育主管部门、食品药品监督管理部门要求整改依然无效的。</w:t>
      </w:r>
    </w:p>
    <w:p w14:paraId="2226BC4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在经营过程中，存在转包、分包</w:t>
      </w:r>
      <w:r>
        <w:rPr>
          <w:rFonts w:hint="eastAsia" w:asciiTheme="minorEastAsia" w:hAnsiTheme="minorEastAsia" w:eastAsiaTheme="minorEastAsia" w:cstheme="minorEastAsia"/>
          <w:color w:val="auto"/>
          <w:sz w:val="21"/>
          <w:szCs w:val="21"/>
          <w:highlight w:val="none"/>
          <w:lang w:eastAsia="zh-CN"/>
        </w:rPr>
        <w:t>等</w:t>
      </w:r>
      <w:r>
        <w:rPr>
          <w:rFonts w:hint="eastAsia" w:asciiTheme="minorEastAsia" w:hAnsiTheme="minorEastAsia" w:eastAsiaTheme="minorEastAsia" w:cstheme="minorEastAsia"/>
          <w:color w:val="auto"/>
          <w:sz w:val="21"/>
          <w:szCs w:val="21"/>
          <w:highlight w:val="none"/>
        </w:rPr>
        <w:t>经营行为的。</w:t>
      </w:r>
    </w:p>
    <w:p w14:paraId="14D92AC0">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在招投标时以弄虚作假等欺诈手段获得准入资格的，或经营情况发生变化已不符合准入条件而又不改变的。</w:t>
      </w:r>
    </w:p>
    <w:p w14:paraId="1EA0197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配送的食材已过保质期或保存期。</w:t>
      </w:r>
    </w:p>
    <w:p w14:paraId="4205669C">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如在食品药品监督管理部门抽检</w:t>
      </w:r>
      <w:r>
        <w:rPr>
          <w:rFonts w:hint="eastAsia" w:asciiTheme="minorEastAsia" w:hAnsiTheme="minorEastAsia" w:eastAsiaTheme="minorEastAsia" w:cstheme="minorEastAsia"/>
          <w:color w:val="auto"/>
          <w:sz w:val="21"/>
          <w:szCs w:val="21"/>
          <w:highlight w:val="none"/>
          <w:lang w:eastAsia="zh-CN"/>
        </w:rPr>
        <w:t>采购单位</w:t>
      </w:r>
      <w:r>
        <w:rPr>
          <w:rFonts w:hint="eastAsia" w:asciiTheme="minorEastAsia" w:hAnsiTheme="minorEastAsia" w:eastAsiaTheme="minorEastAsia" w:cstheme="minorEastAsia"/>
          <w:color w:val="auto"/>
          <w:sz w:val="21"/>
          <w:szCs w:val="21"/>
          <w:highlight w:val="none"/>
        </w:rPr>
        <w:t>过程中，发现</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提供不符合国家食品安全标准的产品或食品，一切责任由</w:t>
      </w:r>
      <w:r>
        <w:rPr>
          <w:rFonts w:hint="eastAsia" w:asciiTheme="minorEastAsia" w:hAnsiTheme="minorEastAsia" w:eastAsiaTheme="minorEastAsia" w:cstheme="minorEastAsia"/>
          <w:color w:val="auto"/>
          <w:sz w:val="21"/>
          <w:szCs w:val="21"/>
          <w:highlight w:val="none"/>
          <w:lang w:eastAsia="zh-CN"/>
        </w:rPr>
        <w:t>中标供应商</w:t>
      </w:r>
      <w:r>
        <w:rPr>
          <w:rFonts w:hint="eastAsia" w:asciiTheme="minorEastAsia" w:hAnsiTheme="minorEastAsia" w:eastAsiaTheme="minorEastAsia" w:cstheme="minorEastAsia"/>
          <w:color w:val="auto"/>
          <w:sz w:val="21"/>
          <w:szCs w:val="21"/>
          <w:highlight w:val="none"/>
        </w:rPr>
        <w:t>负责。</w:t>
      </w:r>
    </w:p>
    <w:p w14:paraId="3C3F1930">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六</w:t>
      </w:r>
      <w:r>
        <w:rPr>
          <w:rFonts w:hint="eastAsia" w:asciiTheme="minorEastAsia" w:hAnsiTheme="minorEastAsia" w:eastAsiaTheme="minorEastAsia" w:cstheme="minorEastAsia"/>
          <w:b/>
          <w:bCs/>
          <w:color w:val="auto"/>
          <w:sz w:val="21"/>
          <w:szCs w:val="21"/>
          <w:highlight w:val="none"/>
          <w:lang w:eastAsia="zh-CN"/>
        </w:rPr>
        <w:t>）其他情形</w:t>
      </w:r>
    </w:p>
    <w:p w14:paraId="6E281D81">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如遇国家或者学校政策调整，采购单位不能继续执行本合作，则不视为采购单位违约。</w:t>
      </w:r>
    </w:p>
    <w:p w14:paraId="5F990C15">
      <w:pPr>
        <w:snapToGrid w:val="0"/>
        <w:spacing w:line="360" w:lineRule="auto"/>
        <w:ind w:left="0" w:leftChars="0" w:firstLine="0" w:firstLineChars="0"/>
        <w:rPr>
          <w:rFonts w:hint="eastAsia" w:ascii="宋体" w:hAnsi="宋体" w:eastAsia="宋体" w:cs="仿宋_GB2312"/>
          <w:b/>
          <w:bCs/>
          <w:color w:val="000000" w:themeColor="text1"/>
          <w:szCs w:val="21"/>
          <w:lang w:val="en-US" w:eastAsia="zh-CN"/>
          <w14:textFill>
            <w14:solidFill>
              <w14:schemeClr w14:val="tx1"/>
            </w14:solidFill>
          </w14:textFill>
        </w:rPr>
      </w:pPr>
      <w:r>
        <w:rPr>
          <w:rFonts w:hint="eastAsia" w:ascii="宋体" w:hAnsi="宋体" w:eastAsia="宋体" w:cs="仿宋_GB2312"/>
          <w:b/>
          <w:bCs/>
          <w:color w:val="000000" w:themeColor="text1"/>
          <w:szCs w:val="21"/>
          <w:lang w:val="en-US" w:eastAsia="zh-CN"/>
          <w14:textFill>
            <w14:solidFill>
              <w14:schemeClr w14:val="tx1"/>
            </w14:solidFill>
          </w14:textFill>
        </w:rPr>
        <w:t>七、考核办法及退出机制：</w:t>
      </w:r>
    </w:p>
    <w:p w14:paraId="0BD9E4B5">
      <w:pPr>
        <w:snapToGrid w:val="0"/>
        <w:spacing w:line="360" w:lineRule="auto"/>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1、考核小组：</w:t>
      </w:r>
      <w:r>
        <w:rPr>
          <w:rFonts w:hint="eastAsia" w:ascii="宋体" w:hAnsi="宋体" w:cs="仿宋_GB2312"/>
          <w:b w:val="0"/>
          <w:bCs w:val="0"/>
          <w:color w:val="000000" w:themeColor="text1"/>
          <w:szCs w:val="21"/>
          <w:lang w:val="en-US" w:eastAsia="zh-CN"/>
          <w14:textFill>
            <w14:solidFill>
              <w14:schemeClr w14:val="tx1"/>
            </w14:solidFill>
          </w14:textFill>
        </w:rPr>
        <w:t>郁南县桂圩镇初级中学</w:t>
      </w:r>
      <w:r>
        <w:rPr>
          <w:rFonts w:hint="eastAsia" w:ascii="宋体" w:hAnsi="宋体" w:eastAsia="宋体" w:cs="仿宋_GB2312"/>
          <w:b w:val="0"/>
          <w:bCs w:val="0"/>
          <w:color w:val="000000" w:themeColor="text1"/>
          <w:szCs w:val="21"/>
          <w:lang w:val="en-US" w:eastAsia="zh-CN"/>
          <w14:textFill>
            <w14:solidFill>
              <w14:schemeClr w14:val="tx1"/>
            </w14:solidFill>
          </w14:textFill>
        </w:rPr>
        <w:t>食堂管理小组。</w:t>
      </w:r>
    </w:p>
    <w:p w14:paraId="23B8DEF7">
      <w:pPr>
        <w:snapToGrid w:val="0"/>
        <w:spacing w:line="360" w:lineRule="auto"/>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2、考核时间安排：每日考核。</w:t>
      </w:r>
    </w:p>
    <w:p w14:paraId="3860ABA8">
      <w:pPr>
        <w:snapToGrid w:val="0"/>
        <w:spacing w:line="360" w:lineRule="auto"/>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3、考核方式：</w:t>
      </w:r>
      <w:r>
        <w:rPr>
          <w:rFonts w:hint="eastAsia" w:ascii="宋体" w:hAnsi="宋体" w:cs="仿宋_GB2312"/>
          <w:b w:val="0"/>
          <w:bCs w:val="0"/>
          <w:color w:val="000000" w:themeColor="text1"/>
          <w:szCs w:val="21"/>
          <w:lang w:val="en-US" w:eastAsia="zh-CN"/>
          <w14:textFill>
            <w14:solidFill>
              <w14:schemeClr w14:val="tx1"/>
            </w14:solidFill>
          </w14:textFill>
        </w:rPr>
        <w:t>郁南县桂圩镇初级中学</w:t>
      </w:r>
      <w:r>
        <w:rPr>
          <w:rFonts w:hint="eastAsia" w:ascii="宋体" w:hAnsi="宋体" w:eastAsia="宋体" w:cs="仿宋_GB2312"/>
          <w:b w:val="0"/>
          <w:bCs w:val="0"/>
          <w:color w:val="000000" w:themeColor="text1"/>
          <w:szCs w:val="21"/>
          <w:lang w:val="en-US" w:eastAsia="zh-CN"/>
          <w14:textFill>
            <w14:solidFill>
              <w14:schemeClr w14:val="tx1"/>
            </w14:solidFill>
          </w14:textFill>
        </w:rPr>
        <w:t>中学食堂管理小组每天对配送的各类食品材料进行随机抽取检测，检测食品材料是否符合国家及地方相关食品质量标准。</w:t>
      </w:r>
    </w:p>
    <w:p w14:paraId="472F8FFC">
      <w:pPr>
        <w:snapToGrid w:val="0"/>
        <w:spacing w:line="360" w:lineRule="auto"/>
        <w:rPr>
          <w:rFonts w:hint="eastAsia" w:ascii="宋体" w:hAnsi="宋体" w:eastAsia="宋体" w:cs="仿宋_GB2312"/>
          <w:b/>
          <w:bCs/>
          <w:color w:val="000000" w:themeColor="text1"/>
          <w:szCs w:val="21"/>
          <w:lang w:val="en-US" w:eastAsia="zh-CN"/>
          <w14:textFill>
            <w14:solidFill>
              <w14:schemeClr w14:val="tx1"/>
            </w14:solidFill>
          </w14:textFill>
        </w:rPr>
      </w:pPr>
      <w:r>
        <w:rPr>
          <w:rFonts w:hint="eastAsia" w:ascii="宋体" w:hAnsi="宋体" w:eastAsia="宋体" w:cs="仿宋_GB2312"/>
          <w:b/>
          <w:bCs/>
          <w:color w:val="000000" w:themeColor="text1"/>
          <w:szCs w:val="21"/>
          <w:lang w:val="en-US" w:eastAsia="zh-CN"/>
          <w14:textFill>
            <w14:solidFill>
              <w14:schemeClr w14:val="tx1"/>
            </w14:solidFill>
          </w14:textFill>
        </w:rPr>
        <w:t xml:space="preserve">★4、评定结果：中标人在一个月内所承包标段的粮油类2次、肉类2次、蔬菜类3次、副食、配料类2次、早餐类2次抽检不达标的。采购人启动退出机制，对不达标的标段中标人进行终止合作，无条件取消合同。供应商出现以下情形的，采购人有权终止合同： </w:t>
      </w:r>
    </w:p>
    <w:p w14:paraId="20AFE51B">
      <w:pPr>
        <w:snapToGrid w:val="0"/>
        <w:spacing w:line="360" w:lineRule="auto"/>
        <w:rPr>
          <w:rFonts w:hint="eastAsia" w:ascii="宋体" w:hAnsi="宋体" w:eastAsia="宋体" w:cs="仿宋_GB2312"/>
          <w:b/>
          <w:bCs/>
          <w:color w:val="000000" w:themeColor="text1"/>
          <w:szCs w:val="21"/>
          <w:lang w:val="en-US" w:eastAsia="zh-CN"/>
          <w14:textFill>
            <w14:solidFill>
              <w14:schemeClr w14:val="tx1"/>
            </w14:solidFill>
          </w14:textFill>
        </w:rPr>
      </w:pPr>
      <w:r>
        <w:rPr>
          <w:rFonts w:hint="eastAsia" w:ascii="宋体" w:hAnsi="宋体" w:eastAsia="宋体" w:cs="仿宋_GB2312"/>
          <w:b/>
          <w:bCs/>
          <w:color w:val="000000" w:themeColor="text1"/>
          <w:szCs w:val="21"/>
          <w:lang w:val="en-US" w:eastAsia="zh-CN"/>
          <w14:textFill>
            <w14:solidFill>
              <w14:schemeClr w14:val="tx1"/>
            </w14:solidFill>
          </w14:textFill>
        </w:rPr>
        <w:t>1）食品经营许可证超过有效期的；</w:t>
      </w:r>
    </w:p>
    <w:p w14:paraId="24F678B8">
      <w:pPr>
        <w:snapToGrid w:val="0"/>
        <w:spacing w:line="360" w:lineRule="auto"/>
        <w:rPr>
          <w:rFonts w:hint="eastAsia" w:ascii="宋体" w:hAnsi="宋体" w:eastAsia="宋体" w:cs="仿宋_GB2312"/>
          <w:b/>
          <w:bCs/>
          <w:color w:val="000000" w:themeColor="text1"/>
          <w:szCs w:val="21"/>
          <w:lang w:val="en-US" w:eastAsia="zh-CN"/>
          <w14:textFill>
            <w14:solidFill>
              <w14:schemeClr w14:val="tx1"/>
            </w14:solidFill>
          </w14:textFill>
        </w:rPr>
      </w:pPr>
      <w:r>
        <w:rPr>
          <w:rFonts w:hint="eastAsia" w:ascii="宋体" w:hAnsi="宋体" w:eastAsia="宋体" w:cs="仿宋_GB2312"/>
          <w:b/>
          <w:bCs/>
          <w:color w:val="000000" w:themeColor="text1"/>
          <w:szCs w:val="21"/>
          <w:lang w:val="en-US" w:eastAsia="zh-CN"/>
          <w14:textFill>
            <w14:solidFill>
              <w14:schemeClr w14:val="tx1"/>
            </w14:solidFill>
          </w14:textFill>
        </w:rPr>
        <w:t xml:space="preserve">2）发生较大或以上安全事故的； </w:t>
      </w:r>
    </w:p>
    <w:p w14:paraId="70800283">
      <w:pPr>
        <w:snapToGrid w:val="0"/>
        <w:spacing w:line="360" w:lineRule="auto"/>
        <w:rPr>
          <w:rFonts w:hint="eastAsia" w:ascii="宋体" w:hAnsi="宋体" w:eastAsia="宋体" w:cs="仿宋_GB2312"/>
          <w:b/>
          <w:bCs/>
          <w:color w:val="000000" w:themeColor="text1"/>
          <w:szCs w:val="21"/>
          <w:lang w:val="en-US" w:eastAsia="zh-CN"/>
          <w14:textFill>
            <w14:solidFill>
              <w14:schemeClr w14:val="tx1"/>
            </w14:solidFill>
          </w14:textFill>
        </w:rPr>
      </w:pPr>
      <w:r>
        <w:rPr>
          <w:rFonts w:hint="eastAsia" w:ascii="宋体" w:hAnsi="宋体" w:eastAsia="宋体" w:cs="仿宋_GB2312"/>
          <w:b/>
          <w:bCs/>
          <w:color w:val="000000" w:themeColor="text1"/>
          <w:szCs w:val="21"/>
          <w:lang w:val="en-US" w:eastAsia="zh-CN"/>
          <w14:textFill>
            <w14:solidFill>
              <w14:schemeClr w14:val="tx1"/>
            </w14:solidFill>
          </w14:textFill>
        </w:rPr>
        <w:t>3）因食品安全问题引发较大或以上舆情事件的；</w:t>
      </w:r>
    </w:p>
    <w:p w14:paraId="0E2C7224">
      <w:pPr>
        <w:snapToGrid w:val="0"/>
        <w:spacing w:line="360" w:lineRule="auto"/>
        <w:rPr>
          <w:rFonts w:hint="eastAsia" w:ascii="宋体" w:hAnsi="宋体" w:eastAsia="宋体" w:cs="仿宋_GB2312"/>
          <w:b/>
          <w:bCs/>
          <w:color w:val="000000" w:themeColor="text1"/>
          <w:szCs w:val="21"/>
          <w:lang w:val="en-US" w:eastAsia="zh-CN"/>
          <w14:textFill>
            <w14:solidFill>
              <w14:schemeClr w14:val="tx1"/>
            </w14:solidFill>
          </w14:textFill>
        </w:rPr>
      </w:pPr>
      <w:r>
        <w:rPr>
          <w:rFonts w:hint="eastAsia" w:ascii="宋体" w:hAnsi="宋体" w:eastAsia="宋体" w:cs="仿宋_GB2312"/>
          <w:b/>
          <w:bCs/>
          <w:color w:val="000000" w:themeColor="text1"/>
          <w:szCs w:val="21"/>
          <w:lang w:val="en-US" w:eastAsia="zh-CN"/>
          <w14:textFill>
            <w14:solidFill>
              <w14:schemeClr w14:val="tx1"/>
            </w14:solidFill>
          </w14:textFill>
        </w:rPr>
        <w:t xml:space="preserve">4）因违反《食品安全法》及其实施条例、《学校食品安全与营养健康管理规定》等法律法规、一年内收到1次或以上行政处罚的； </w:t>
      </w:r>
    </w:p>
    <w:p w14:paraId="1CB69981">
      <w:pPr>
        <w:snapToGrid w:val="0"/>
        <w:spacing w:line="360" w:lineRule="auto"/>
        <w:rPr>
          <w:rFonts w:hint="eastAsia" w:ascii="宋体" w:hAnsi="宋体" w:eastAsia="宋体" w:cs="仿宋_GB2312"/>
          <w:b/>
          <w:bCs/>
          <w:color w:val="000000" w:themeColor="text1"/>
          <w:szCs w:val="21"/>
          <w:lang w:val="en-US" w:eastAsia="zh-CN"/>
          <w14:textFill>
            <w14:solidFill>
              <w14:schemeClr w14:val="tx1"/>
            </w14:solidFill>
          </w14:textFill>
        </w:rPr>
      </w:pPr>
      <w:r>
        <w:rPr>
          <w:rFonts w:hint="eastAsia" w:ascii="宋体" w:hAnsi="宋体" w:eastAsia="宋体" w:cs="仿宋_GB2312"/>
          <w:b/>
          <w:bCs/>
          <w:color w:val="000000" w:themeColor="text1"/>
          <w:szCs w:val="21"/>
          <w:lang w:val="en-US" w:eastAsia="zh-CN"/>
          <w14:textFill>
            <w14:solidFill>
              <w14:schemeClr w14:val="tx1"/>
            </w14:solidFill>
          </w14:textFill>
        </w:rPr>
        <w:t>5）因存在重大食品安全隐患收到市场监督部门或教育部门（人力资源社会保障）通报的。</w:t>
      </w:r>
    </w:p>
    <w:p w14:paraId="09CF4A09">
      <w:pPr>
        <w:snapToGrid w:val="0"/>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eastAsia="宋体" w:cs="仿宋_GB2312"/>
          <w:b/>
          <w:bCs/>
          <w:color w:val="000000" w:themeColor="text1"/>
          <w:szCs w:val="21"/>
          <w:lang w:val="en-US" w:eastAsia="zh-CN"/>
          <w14:textFill>
            <w14:solidFill>
              <w14:schemeClr w14:val="tx1"/>
            </w14:solidFill>
          </w14:textFill>
        </w:rPr>
        <w:t>（投标时提供承诺函并加盖公章）</w:t>
      </w:r>
    </w:p>
    <w:p w14:paraId="50D01352">
      <w:pPr>
        <w:keepNext w:val="0"/>
        <w:keepLines w:val="0"/>
        <w:pageBreakBefore w:val="0"/>
        <w:kinsoku/>
        <w:wordWrap/>
        <w:overflowPunct/>
        <w:topLinePunct w:val="0"/>
        <w:autoSpaceDE/>
        <w:autoSpaceDN/>
        <w:bidi w:val="0"/>
        <w:adjustRightInd/>
        <w:spacing w:line="360" w:lineRule="auto"/>
        <w:ind w:left="211" w:leftChars="0" w:hanging="211" w:hangingChars="100"/>
        <w:textAlignment w:val="auto"/>
        <w:rPr>
          <w:rFonts w:hint="eastAsia" w:asciiTheme="minorEastAsia" w:hAnsiTheme="minorEastAsia" w:eastAsiaTheme="minorEastAsia" w:cstheme="minorEastAsia"/>
          <w:b/>
          <w:bCs/>
          <w:color w:val="auto"/>
          <w:sz w:val="21"/>
          <w:szCs w:val="21"/>
          <w:highlight w:val="none"/>
          <w:lang w:val="en-US" w:eastAsia="en-US"/>
        </w:rPr>
      </w:pPr>
      <w:r>
        <w:rPr>
          <w:rFonts w:hint="eastAsia" w:asciiTheme="minorEastAsia" w:hAnsiTheme="minorEastAsia" w:eastAsiaTheme="minorEastAsia" w:cstheme="minorEastAsia"/>
          <w:b/>
          <w:bCs/>
          <w:color w:val="auto"/>
          <w:sz w:val="21"/>
          <w:szCs w:val="21"/>
          <w:highlight w:val="none"/>
          <w:lang w:val="en-US" w:eastAsia="zh-CN"/>
        </w:rPr>
        <w:t>八、</w:t>
      </w:r>
      <w:r>
        <w:rPr>
          <w:rFonts w:hint="eastAsia" w:asciiTheme="minorEastAsia" w:hAnsiTheme="minorEastAsia" w:eastAsiaTheme="minorEastAsia" w:cstheme="minorEastAsia"/>
          <w:b/>
          <w:bCs/>
          <w:color w:val="auto"/>
          <w:sz w:val="21"/>
          <w:szCs w:val="21"/>
          <w:highlight w:val="none"/>
          <w:lang w:val="en-US" w:eastAsia="en-US"/>
        </w:rPr>
        <w:t>付款方式</w:t>
      </w:r>
    </w:p>
    <w:p w14:paraId="5EE6F52F">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人货款按月度进行结算。在办理付款手续之前双方须对供应货物的品种、数量、单价、金额等进行统计，并核实无误。具体结算金额按：各类食品材料结算价格=各类食品材料实际供货数量×各类食品材料基准价（一个月为周期）×（1-中标下浮率）。</w:t>
      </w:r>
    </w:p>
    <w:p w14:paraId="1CC0FDA5">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2、中标供应商凭以下有效文件与采购人结算：</w:t>
      </w:r>
    </w:p>
    <w:p w14:paraId="27745F09">
      <w:pPr>
        <w:keepNext w:val="0"/>
        <w:keepLines w:val="0"/>
        <w:pageBreakBefore w:val="0"/>
        <w:kinsoku/>
        <w:wordWrap/>
        <w:overflowPunct/>
        <w:topLinePunct w:val="0"/>
        <w:autoSpaceDE/>
        <w:autoSpaceDN/>
        <w:bidi w:val="0"/>
        <w:adjustRightInd/>
        <w:spacing w:line="360" w:lineRule="auto"/>
        <w:ind w:left="210" w:leftChars="0" w:hanging="210" w:hanging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中标供应商开具的正式发票，税费由中标供应商支付。收款方、出具发票方、合同乙方均必须与中标供应商名称一致。 </w:t>
      </w:r>
    </w:p>
    <w:p w14:paraId="54921C75">
      <w:pPr>
        <w:snapToGrid w:val="0"/>
        <w:spacing w:line="360" w:lineRule="auto"/>
        <w:rPr>
          <w:rFonts w:hint="eastAsia" w:ascii="宋体" w:hAnsi="宋体" w:eastAsia="宋体" w:cs="仿宋_GB2312"/>
          <w:color w:val="000000" w:themeColor="text1"/>
          <w:szCs w:val="21"/>
          <w14:textFill>
            <w14:solidFill>
              <w14:schemeClr w14:val="tx1"/>
            </w14:solidFill>
          </w14:textFill>
        </w:rPr>
      </w:pPr>
      <w:r>
        <w:rPr>
          <w:rFonts w:hint="eastAsia" w:asciiTheme="minorEastAsia" w:hAnsiTheme="minorEastAsia" w:eastAsiaTheme="minorEastAsia" w:cstheme="minorEastAsia"/>
          <w:color w:val="auto"/>
          <w:sz w:val="21"/>
          <w:szCs w:val="21"/>
          <w:highlight w:val="none"/>
        </w:rPr>
        <w:t>（2） 采购人收到中标供应商有效等额发票后，15日内支付货款给中标供应商。</w:t>
      </w:r>
    </w:p>
    <w:p w14:paraId="433C32F8">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241FEB7F">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4E5DF112">
      <w:pPr>
        <w:snapToGrid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p>
    <w:p w14:paraId="118416CB">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2CCA85F5">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2B873435">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01B54A98">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03A7C77E">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4FB7E6F9">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6EE617D1">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75509813">
      <w:pPr>
        <w:snapToGrid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p>
    <w:p w14:paraId="480EEA0C">
      <w:pPr>
        <w:pStyle w:val="52"/>
        <w:rPr>
          <w:rFonts w:ascii="宋体" w:hAnsi="宋体" w:eastAsia="宋体" w:cs="仿宋_GB2312"/>
          <w:color w:val="000000" w:themeColor="text1"/>
          <w:szCs w:val="21"/>
          <w14:textFill>
            <w14:solidFill>
              <w14:schemeClr w14:val="tx1"/>
            </w14:solidFill>
          </w14:textFill>
        </w:rPr>
      </w:pPr>
    </w:p>
    <w:p w14:paraId="172576E1">
      <w:pPr>
        <w:pStyle w:val="52"/>
        <w:ind w:left="0" w:leftChars="0" w:firstLine="0" w:firstLineChars="0"/>
        <w:rPr>
          <w:rFonts w:ascii="宋体" w:hAnsi="宋体" w:eastAsia="宋体" w:cs="仿宋_GB2312"/>
          <w:color w:val="000000" w:themeColor="text1"/>
          <w:szCs w:val="21"/>
          <w14:textFill>
            <w14:solidFill>
              <w14:schemeClr w14:val="tx1"/>
            </w14:solidFill>
          </w14:textFill>
        </w:rPr>
      </w:pPr>
    </w:p>
    <w:p w14:paraId="3A4195CE">
      <w:pPr>
        <w:spacing w:line="312" w:lineRule="auto"/>
        <w:ind w:firstLine="562" w:firstLineChars="200"/>
        <w:jc w:val="center"/>
        <w:rPr>
          <w:rFonts w:ascii="宋体" w:hAnsi="宋体" w:eastAsia="宋体"/>
          <w:b/>
          <w:sz w:val="36"/>
        </w:rPr>
      </w:pPr>
      <w:r>
        <w:rPr>
          <w:rFonts w:hint="eastAsia" w:ascii="宋体" w:hAnsi="宋体" w:eastAsia="宋体"/>
          <w:b/>
          <w:sz w:val="28"/>
        </w:rPr>
        <w:t>评分体系与标准</w:t>
      </w:r>
    </w:p>
    <w:p w14:paraId="37CEFC66">
      <w:pPr>
        <w:ind w:firstLine="420" w:firstLineChars="200"/>
        <w:rPr>
          <w:rFonts w:ascii="宋体" w:hAnsi="宋体" w:eastAsia="宋体"/>
        </w:rPr>
      </w:pPr>
      <w:r>
        <w:rPr>
          <w:rFonts w:hint="eastAsia" w:ascii="宋体" w:hAnsi="宋体" w:eastAsia="宋体"/>
        </w:rPr>
        <w:t>1.投标人必须严格按照《资格性审查表》、《符合性审查表》的评审内容的要求如实提供证明材料并应加盖投标人公章，若投标人不满足《资格性审查表》、《符合性审查表》中任何情形之一的，则其投标无效。</w:t>
      </w:r>
    </w:p>
    <w:p w14:paraId="01EEB1C3">
      <w:pPr>
        <w:ind w:firstLine="420" w:firstLineChars="200"/>
        <w:rPr>
          <w:rFonts w:ascii="宋体" w:hAnsi="宋体" w:eastAsia="宋体"/>
        </w:rPr>
      </w:pPr>
      <w:r>
        <w:rPr>
          <w:rFonts w:hint="eastAsia" w:ascii="宋体" w:hAnsi="宋体" w:eastAsia="宋体"/>
        </w:rPr>
        <w:t>2.技术、商务评分：评标委员会各成员分值的算术平均值（四舍五入后，小数点后保留两位有效数）。。</w:t>
      </w:r>
    </w:p>
    <w:p w14:paraId="103745AC">
      <w:pPr>
        <w:spacing w:line="312" w:lineRule="auto"/>
        <w:rPr>
          <w:rFonts w:ascii="宋体" w:hAnsi="宋体" w:eastAsia="宋体"/>
          <w:b/>
        </w:rPr>
      </w:pPr>
      <w:r>
        <w:rPr>
          <w:rFonts w:hint="eastAsia" w:ascii="宋体" w:hAnsi="宋体" w:eastAsia="宋体"/>
          <w:b/>
        </w:rPr>
        <w:t>一、 资格、符合性评审</w:t>
      </w:r>
    </w:p>
    <w:tbl>
      <w:tblPr>
        <w:tblStyle w:val="39"/>
        <w:tblW w:w="999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9285"/>
      </w:tblGrid>
      <w:tr w14:paraId="42C5FF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10" w:type="dxa"/>
            <w:tcBorders>
              <w:top w:val="single" w:color="auto" w:sz="18" w:space="0"/>
              <w:left w:val="single" w:color="auto" w:sz="18" w:space="0"/>
              <w:bottom w:val="single" w:color="auto" w:sz="6" w:space="0"/>
              <w:right w:val="single" w:color="auto" w:sz="6" w:space="0"/>
            </w:tcBorders>
            <w:vAlign w:val="center"/>
          </w:tcPr>
          <w:p w14:paraId="02374E1A">
            <w:pPr>
              <w:spacing w:line="312" w:lineRule="auto"/>
              <w:jc w:val="center"/>
              <w:rPr>
                <w:rFonts w:ascii="宋体" w:hAnsi="宋体" w:eastAsia="宋体"/>
                <w:b/>
                <w:kern w:val="0"/>
                <w:sz w:val="20"/>
                <w:szCs w:val="20"/>
              </w:rPr>
            </w:pPr>
            <w:r>
              <w:rPr>
                <w:rFonts w:hint="eastAsia" w:ascii="宋体" w:hAnsi="宋体" w:eastAsia="宋体"/>
                <w:b/>
                <w:kern w:val="0"/>
                <w:sz w:val="20"/>
                <w:szCs w:val="20"/>
              </w:rPr>
              <w:t>序号</w:t>
            </w:r>
          </w:p>
        </w:tc>
        <w:tc>
          <w:tcPr>
            <w:tcW w:w="9285" w:type="dxa"/>
            <w:tcBorders>
              <w:top w:val="single" w:color="auto" w:sz="18" w:space="0"/>
              <w:left w:val="single" w:color="auto" w:sz="6" w:space="0"/>
              <w:bottom w:val="single" w:color="auto" w:sz="6" w:space="0"/>
              <w:right w:val="single" w:color="auto" w:sz="18" w:space="0"/>
            </w:tcBorders>
            <w:vAlign w:val="center"/>
          </w:tcPr>
          <w:p w14:paraId="40CB2315">
            <w:pPr>
              <w:spacing w:line="312" w:lineRule="auto"/>
              <w:jc w:val="center"/>
              <w:rPr>
                <w:rFonts w:ascii="宋体" w:hAnsi="宋体" w:eastAsia="宋体"/>
                <w:b/>
                <w:kern w:val="0"/>
                <w:sz w:val="20"/>
                <w:szCs w:val="20"/>
              </w:rPr>
            </w:pPr>
            <w:r>
              <w:rPr>
                <w:rFonts w:hint="eastAsia" w:ascii="宋体" w:hAnsi="宋体" w:eastAsia="宋体"/>
                <w:b/>
                <w:kern w:val="0"/>
                <w:sz w:val="20"/>
                <w:szCs w:val="20"/>
              </w:rPr>
              <w:t>资格性评审内容</w:t>
            </w:r>
          </w:p>
        </w:tc>
      </w:tr>
      <w:tr w14:paraId="347442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08AF34C5">
            <w:pPr>
              <w:spacing w:line="312" w:lineRule="auto"/>
              <w:jc w:val="center"/>
              <w:rPr>
                <w:rFonts w:ascii="宋体" w:hAnsi="宋体" w:eastAsia="宋体"/>
                <w:kern w:val="0"/>
                <w:sz w:val="20"/>
                <w:szCs w:val="21"/>
              </w:rPr>
            </w:pPr>
            <w:r>
              <w:rPr>
                <w:rFonts w:hint="eastAsia" w:ascii="宋体" w:hAnsi="宋体" w:eastAsia="宋体"/>
                <w:kern w:val="0"/>
                <w:sz w:val="20"/>
                <w:szCs w:val="21"/>
              </w:rPr>
              <w:t>1</w:t>
            </w:r>
          </w:p>
        </w:tc>
        <w:tc>
          <w:tcPr>
            <w:tcW w:w="9285" w:type="dxa"/>
            <w:tcBorders>
              <w:top w:val="single" w:color="auto" w:sz="6" w:space="0"/>
              <w:left w:val="single" w:color="auto" w:sz="6" w:space="0"/>
              <w:bottom w:val="single" w:color="auto" w:sz="6" w:space="0"/>
              <w:right w:val="single" w:color="auto" w:sz="18" w:space="0"/>
            </w:tcBorders>
            <w:vAlign w:val="center"/>
          </w:tcPr>
          <w:p w14:paraId="0F66FFC1">
            <w:pPr>
              <w:rPr>
                <w:rFonts w:ascii="宋体" w:hAnsi="宋体" w:eastAsia="宋体"/>
                <w:bCs/>
                <w:sz w:val="20"/>
                <w:szCs w:val="18"/>
              </w:rPr>
            </w:pPr>
            <w:r>
              <w:rPr>
                <w:rFonts w:ascii="宋体" w:hAnsi="宋体" w:eastAsia="宋体"/>
              </w:rPr>
              <w:t>具有独立承担民事责任的能力</w:t>
            </w:r>
            <w:r>
              <w:rPr>
                <w:rFonts w:hint="eastAsia" w:ascii="宋体" w:hAnsi="宋体" w:eastAsia="宋体"/>
              </w:rPr>
              <w:t>：</w:t>
            </w:r>
            <w:r>
              <w:rPr>
                <w:rFonts w:ascii="宋体" w:hAnsi="宋体" w:eastAsia="宋体"/>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223406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7124906A">
            <w:pPr>
              <w:spacing w:line="312" w:lineRule="auto"/>
              <w:jc w:val="center"/>
              <w:rPr>
                <w:rFonts w:ascii="宋体" w:hAnsi="宋体" w:eastAsia="宋体"/>
                <w:kern w:val="0"/>
                <w:sz w:val="20"/>
                <w:szCs w:val="21"/>
              </w:rPr>
            </w:pPr>
            <w:r>
              <w:rPr>
                <w:rFonts w:hint="eastAsia" w:ascii="宋体" w:hAnsi="宋体" w:eastAsia="宋体"/>
                <w:kern w:val="0"/>
                <w:sz w:val="20"/>
                <w:szCs w:val="21"/>
              </w:rPr>
              <w:t>2</w:t>
            </w:r>
          </w:p>
        </w:tc>
        <w:tc>
          <w:tcPr>
            <w:tcW w:w="9285" w:type="dxa"/>
            <w:tcBorders>
              <w:top w:val="single" w:color="auto" w:sz="6" w:space="0"/>
              <w:left w:val="single" w:color="auto" w:sz="6" w:space="0"/>
              <w:bottom w:val="single" w:color="auto" w:sz="6" w:space="0"/>
              <w:right w:val="single" w:color="auto" w:sz="18" w:space="0"/>
            </w:tcBorders>
            <w:vAlign w:val="center"/>
          </w:tcPr>
          <w:p w14:paraId="45BAD186">
            <w:pPr>
              <w:rPr>
                <w:rFonts w:ascii="宋体" w:hAnsi="宋体" w:eastAsia="宋体"/>
                <w:bCs/>
                <w:sz w:val="20"/>
                <w:szCs w:val="18"/>
              </w:rPr>
            </w:pPr>
            <w:r>
              <w:rPr>
                <w:rFonts w:ascii="宋体" w:hAnsi="宋体" w:eastAsia="宋体"/>
              </w:rPr>
              <w:t>有依法缴纳税收和社会保障资金的良好记录</w:t>
            </w:r>
            <w:r>
              <w:rPr>
                <w:rFonts w:hint="eastAsia" w:ascii="宋体" w:hAnsi="宋体" w:eastAsia="宋体"/>
              </w:rPr>
              <w:t>：</w:t>
            </w:r>
            <w:r>
              <w:rPr>
                <w:rFonts w:ascii="宋体" w:hAnsi="宋体" w:eastAsia="宋体"/>
              </w:rPr>
              <w:t>提供书面承诺声明函，格式自拟。</w:t>
            </w:r>
          </w:p>
        </w:tc>
      </w:tr>
      <w:tr w14:paraId="6EC324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65A1A756">
            <w:pPr>
              <w:spacing w:line="312" w:lineRule="auto"/>
              <w:jc w:val="center"/>
              <w:rPr>
                <w:rFonts w:ascii="宋体" w:hAnsi="宋体" w:eastAsia="宋体"/>
                <w:kern w:val="0"/>
                <w:sz w:val="20"/>
                <w:szCs w:val="21"/>
              </w:rPr>
            </w:pPr>
            <w:r>
              <w:rPr>
                <w:rFonts w:hint="eastAsia" w:ascii="宋体" w:hAnsi="宋体" w:eastAsia="宋体"/>
                <w:kern w:val="0"/>
                <w:sz w:val="20"/>
                <w:szCs w:val="21"/>
              </w:rPr>
              <w:t>3</w:t>
            </w:r>
          </w:p>
        </w:tc>
        <w:tc>
          <w:tcPr>
            <w:tcW w:w="9285" w:type="dxa"/>
            <w:tcBorders>
              <w:top w:val="single" w:color="auto" w:sz="6" w:space="0"/>
              <w:left w:val="single" w:color="auto" w:sz="6" w:space="0"/>
              <w:bottom w:val="single" w:color="auto" w:sz="6" w:space="0"/>
              <w:right w:val="single" w:color="auto" w:sz="18" w:space="0"/>
            </w:tcBorders>
            <w:vAlign w:val="center"/>
          </w:tcPr>
          <w:p w14:paraId="69CA3CF6">
            <w:pPr>
              <w:rPr>
                <w:rFonts w:ascii="宋体" w:hAnsi="宋体" w:eastAsia="宋体"/>
                <w:bCs/>
                <w:sz w:val="20"/>
                <w:szCs w:val="18"/>
              </w:rPr>
            </w:pPr>
            <w:r>
              <w:rPr>
                <w:rFonts w:ascii="宋体" w:hAnsi="宋体" w:eastAsia="宋体"/>
              </w:rPr>
              <w:t>具有良好的商业信誉和健全的财务会计制度</w:t>
            </w:r>
            <w:r>
              <w:rPr>
                <w:rFonts w:hint="eastAsia" w:ascii="宋体" w:hAnsi="宋体" w:eastAsia="宋体"/>
              </w:rPr>
              <w:t>：</w:t>
            </w:r>
            <w:r>
              <w:rPr>
                <w:rFonts w:ascii="宋体" w:hAnsi="宋体" w:eastAsia="宋体"/>
              </w:rPr>
              <w:t>提供书面承诺声明函，格式自拟。</w:t>
            </w:r>
          </w:p>
        </w:tc>
      </w:tr>
      <w:tr w14:paraId="041163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7CFE0FFF">
            <w:pPr>
              <w:spacing w:line="312" w:lineRule="auto"/>
              <w:jc w:val="center"/>
              <w:rPr>
                <w:rFonts w:ascii="宋体" w:hAnsi="宋体" w:eastAsia="宋体"/>
                <w:kern w:val="0"/>
                <w:sz w:val="20"/>
                <w:szCs w:val="21"/>
              </w:rPr>
            </w:pPr>
            <w:r>
              <w:rPr>
                <w:rFonts w:hint="eastAsia" w:ascii="宋体" w:hAnsi="宋体" w:eastAsia="宋体"/>
                <w:kern w:val="0"/>
                <w:sz w:val="20"/>
                <w:szCs w:val="21"/>
              </w:rPr>
              <w:t>4</w:t>
            </w:r>
          </w:p>
        </w:tc>
        <w:tc>
          <w:tcPr>
            <w:tcW w:w="9285" w:type="dxa"/>
            <w:tcBorders>
              <w:top w:val="single" w:color="auto" w:sz="6" w:space="0"/>
              <w:left w:val="single" w:color="auto" w:sz="6" w:space="0"/>
              <w:bottom w:val="single" w:color="auto" w:sz="6" w:space="0"/>
              <w:right w:val="single" w:color="auto" w:sz="18" w:space="0"/>
            </w:tcBorders>
            <w:vAlign w:val="center"/>
          </w:tcPr>
          <w:p w14:paraId="1B8C1736">
            <w:pPr>
              <w:rPr>
                <w:rFonts w:ascii="宋体" w:hAnsi="宋体" w:eastAsia="宋体"/>
                <w:bCs/>
                <w:sz w:val="20"/>
                <w:szCs w:val="18"/>
              </w:rPr>
            </w:pPr>
            <w:r>
              <w:rPr>
                <w:rFonts w:ascii="宋体" w:hAnsi="宋体" w:eastAsia="宋体"/>
              </w:rPr>
              <w:t>履行合同所必需的设备和专业技术能力</w:t>
            </w:r>
            <w:r>
              <w:rPr>
                <w:rFonts w:hint="eastAsia" w:ascii="宋体" w:hAnsi="宋体" w:eastAsia="宋体"/>
              </w:rPr>
              <w:t>：</w:t>
            </w:r>
            <w:r>
              <w:rPr>
                <w:rFonts w:ascii="宋体" w:hAnsi="宋体" w:eastAsia="宋体"/>
              </w:rPr>
              <w:t>按投标（响应）文件格式填报设备及专业技术能力情况或书面承诺声明函，格式自拟。</w:t>
            </w:r>
          </w:p>
        </w:tc>
      </w:tr>
      <w:tr w14:paraId="155EB5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0D4870A4">
            <w:pPr>
              <w:spacing w:line="312" w:lineRule="auto"/>
              <w:jc w:val="center"/>
              <w:rPr>
                <w:rFonts w:ascii="宋体" w:hAnsi="宋体" w:eastAsia="宋体"/>
                <w:kern w:val="0"/>
                <w:sz w:val="20"/>
                <w:szCs w:val="21"/>
              </w:rPr>
            </w:pPr>
            <w:r>
              <w:rPr>
                <w:rFonts w:hint="eastAsia" w:ascii="宋体" w:hAnsi="宋体" w:eastAsia="宋体"/>
                <w:kern w:val="0"/>
                <w:sz w:val="20"/>
                <w:szCs w:val="21"/>
              </w:rPr>
              <w:t>5</w:t>
            </w:r>
          </w:p>
        </w:tc>
        <w:tc>
          <w:tcPr>
            <w:tcW w:w="9285" w:type="dxa"/>
            <w:tcBorders>
              <w:top w:val="single" w:color="auto" w:sz="6" w:space="0"/>
              <w:left w:val="single" w:color="auto" w:sz="6" w:space="0"/>
              <w:bottom w:val="single" w:color="auto" w:sz="6" w:space="0"/>
              <w:right w:val="single" w:color="auto" w:sz="18" w:space="0"/>
            </w:tcBorders>
            <w:vAlign w:val="center"/>
          </w:tcPr>
          <w:p w14:paraId="105AC2F8">
            <w:pPr>
              <w:rPr>
                <w:rFonts w:ascii="宋体" w:hAnsi="宋体" w:eastAsia="宋体"/>
                <w:bCs/>
                <w:sz w:val="20"/>
                <w:szCs w:val="18"/>
              </w:rPr>
            </w:pPr>
            <w:r>
              <w:rPr>
                <w:rFonts w:ascii="宋体" w:hAnsi="宋体" w:eastAsia="宋体"/>
              </w:rPr>
              <w:t>参加采购活动前3年内，在经营活动中没有重大违法记录</w:t>
            </w:r>
            <w:r>
              <w:rPr>
                <w:rFonts w:hint="eastAsia" w:ascii="宋体" w:hAnsi="宋体" w:eastAsia="宋体"/>
              </w:rPr>
              <w:t>：</w:t>
            </w:r>
            <w:r>
              <w:rPr>
                <w:rFonts w:ascii="宋体" w:hAnsi="宋体" w:eastAsia="宋体"/>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676A3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071BA163">
            <w:pPr>
              <w:spacing w:line="312" w:lineRule="auto"/>
              <w:jc w:val="center"/>
              <w:rPr>
                <w:rFonts w:ascii="宋体" w:hAnsi="宋体" w:eastAsia="宋体"/>
                <w:kern w:val="0"/>
                <w:sz w:val="20"/>
                <w:szCs w:val="21"/>
              </w:rPr>
            </w:pPr>
            <w:r>
              <w:rPr>
                <w:rFonts w:hint="eastAsia" w:ascii="宋体" w:hAnsi="宋体" w:eastAsia="宋体"/>
                <w:kern w:val="0"/>
                <w:sz w:val="20"/>
                <w:szCs w:val="21"/>
              </w:rPr>
              <w:t>6</w:t>
            </w:r>
          </w:p>
        </w:tc>
        <w:tc>
          <w:tcPr>
            <w:tcW w:w="9285" w:type="dxa"/>
            <w:tcBorders>
              <w:top w:val="single" w:color="auto" w:sz="6" w:space="0"/>
              <w:left w:val="single" w:color="auto" w:sz="6" w:space="0"/>
              <w:bottom w:val="single" w:color="auto" w:sz="6" w:space="0"/>
              <w:right w:val="single" w:color="auto" w:sz="18" w:space="0"/>
            </w:tcBorders>
            <w:vAlign w:val="center"/>
          </w:tcPr>
          <w:p w14:paraId="6C1BBE81">
            <w:pPr>
              <w:rPr>
                <w:rFonts w:ascii="宋体" w:hAnsi="宋体" w:eastAsia="宋体"/>
                <w:kern w:val="0"/>
                <w:sz w:val="20"/>
                <w:szCs w:val="21"/>
              </w:rPr>
            </w:pPr>
            <w:r>
              <w:rPr>
                <w:rFonts w:hint="eastAsia" w:ascii="宋体" w:hAnsi="宋体" w:eastAsia="宋体"/>
              </w:rPr>
              <w:t>供应商未被列入“信用中国”网站(www.creditchina.gov.cn)“重大税收违法失信、政府采购严重违法失信”记录名单；中国执行信息公开网（http://zxgk.court.gov.cn）“失信被执行人”记录名单；不处于中国政府采购网(www.ccgp.gov.cn)“政府采购严重违法失信行为信息记录”中的禁止参加政府采购活动期间。【在“信用中国”网站（www.creditchina.gov.cn ）、中国执行信息公开网（http://zxgk.court.gov.cn）及中国政府采购网(www.ccgp.gov.cn )查询结果以投标人提供截图并加盖公章为准，如相关失信记录已失效，投标人需提供相关证明资料】</w:t>
            </w:r>
          </w:p>
        </w:tc>
      </w:tr>
      <w:tr w14:paraId="40A708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076A7278">
            <w:pPr>
              <w:spacing w:line="312" w:lineRule="auto"/>
              <w:jc w:val="center"/>
              <w:rPr>
                <w:rFonts w:ascii="宋体" w:hAnsi="宋体" w:eastAsia="宋体"/>
                <w:kern w:val="0"/>
                <w:sz w:val="20"/>
                <w:szCs w:val="21"/>
              </w:rPr>
            </w:pPr>
            <w:r>
              <w:rPr>
                <w:rFonts w:hint="eastAsia" w:ascii="宋体" w:hAnsi="宋体" w:eastAsia="宋体"/>
                <w:kern w:val="0"/>
                <w:sz w:val="20"/>
                <w:szCs w:val="21"/>
              </w:rPr>
              <w:t>7</w:t>
            </w:r>
          </w:p>
        </w:tc>
        <w:tc>
          <w:tcPr>
            <w:tcW w:w="9285" w:type="dxa"/>
            <w:tcBorders>
              <w:top w:val="single" w:color="auto" w:sz="6" w:space="0"/>
              <w:left w:val="single" w:color="auto" w:sz="6" w:space="0"/>
              <w:bottom w:val="single" w:color="auto" w:sz="6" w:space="0"/>
              <w:right w:val="single" w:color="auto" w:sz="18" w:space="0"/>
            </w:tcBorders>
            <w:vAlign w:val="center"/>
          </w:tcPr>
          <w:p w14:paraId="08DFFE6C">
            <w:pPr>
              <w:rPr>
                <w:rFonts w:ascii="宋体" w:hAnsi="宋体" w:eastAsia="宋体"/>
                <w:kern w:val="0"/>
                <w:sz w:val="20"/>
                <w:szCs w:val="21"/>
              </w:rPr>
            </w:pPr>
            <w:r>
              <w:rPr>
                <w:rFonts w:ascii="宋体" w:hAnsi="宋体" w:eastAsia="宋体"/>
              </w:rPr>
              <w:t xml:space="preserve">单位负责人为同一人或者存在直接控股、 管理关系的不同供应商，不得同时参加本采购项目（或采购包） 投标（响应）。 为本项目提供整体设计、 规范编制或者项目管理、 监理、 检测等服务的供应商， 不得再参与本项目投标（响应）。 </w:t>
            </w:r>
            <w:r>
              <w:rPr>
                <w:rFonts w:hint="eastAsia" w:ascii="宋体" w:hAnsi="宋体" w:eastAsia="宋体"/>
              </w:rPr>
              <w:t>（</w:t>
            </w:r>
            <w:r>
              <w:rPr>
                <w:rFonts w:ascii="宋体" w:hAnsi="宋体" w:eastAsia="宋体"/>
              </w:rPr>
              <w:t>提供书面承诺声明函，格式自拟。</w:t>
            </w:r>
            <w:r>
              <w:rPr>
                <w:rFonts w:hint="eastAsia" w:ascii="宋体" w:hAnsi="宋体" w:eastAsia="宋体"/>
              </w:rPr>
              <w:t>）</w:t>
            </w:r>
          </w:p>
        </w:tc>
      </w:tr>
      <w:tr w14:paraId="297E4E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0C0143F9">
            <w:pPr>
              <w:spacing w:line="312" w:lineRule="auto"/>
              <w:jc w:val="center"/>
              <w:rPr>
                <w:rFonts w:ascii="宋体" w:hAnsi="宋体" w:eastAsia="宋体"/>
                <w:kern w:val="0"/>
                <w:sz w:val="20"/>
                <w:szCs w:val="21"/>
              </w:rPr>
            </w:pPr>
            <w:r>
              <w:rPr>
                <w:rFonts w:hint="eastAsia" w:ascii="宋体" w:hAnsi="宋体" w:eastAsia="宋体"/>
                <w:kern w:val="0"/>
                <w:sz w:val="20"/>
                <w:szCs w:val="21"/>
              </w:rPr>
              <w:t>8</w:t>
            </w:r>
          </w:p>
        </w:tc>
        <w:tc>
          <w:tcPr>
            <w:tcW w:w="9285" w:type="dxa"/>
            <w:tcBorders>
              <w:top w:val="single" w:color="auto" w:sz="6" w:space="0"/>
              <w:left w:val="single" w:color="auto" w:sz="6" w:space="0"/>
              <w:bottom w:val="single" w:color="auto" w:sz="6" w:space="0"/>
              <w:right w:val="single" w:color="auto" w:sz="18" w:space="0"/>
            </w:tcBorders>
            <w:vAlign w:val="center"/>
          </w:tcPr>
          <w:p w14:paraId="18921418">
            <w:pPr>
              <w:rPr>
                <w:rFonts w:ascii="宋体" w:hAnsi="宋体" w:eastAsia="宋体"/>
                <w:kern w:val="0"/>
                <w:sz w:val="20"/>
                <w:szCs w:val="21"/>
              </w:rPr>
            </w:pPr>
            <w:r>
              <w:rPr>
                <w:rFonts w:ascii="宋体" w:hAnsi="宋体" w:eastAsia="宋体"/>
              </w:rPr>
              <w:t>投标人须具有有效期内的《食品经营许可证》。（国家另有规定的，从其规定）</w:t>
            </w:r>
          </w:p>
        </w:tc>
      </w:tr>
      <w:tr w14:paraId="45BC0A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66014883">
            <w:pPr>
              <w:spacing w:line="312" w:lineRule="auto"/>
              <w:jc w:val="center"/>
              <w:rPr>
                <w:rFonts w:ascii="宋体" w:hAnsi="宋体" w:eastAsia="宋体"/>
                <w:kern w:val="0"/>
                <w:sz w:val="20"/>
                <w:szCs w:val="21"/>
              </w:rPr>
            </w:pPr>
            <w:r>
              <w:rPr>
                <w:rFonts w:hint="eastAsia" w:ascii="宋体" w:hAnsi="宋体" w:eastAsia="宋体"/>
                <w:kern w:val="0"/>
                <w:sz w:val="20"/>
                <w:szCs w:val="21"/>
              </w:rPr>
              <w:t>9</w:t>
            </w:r>
          </w:p>
        </w:tc>
        <w:tc>
          <w:tcPr>
            <w:tcW w:w="9285" w:type="dxa"/>
            <w:tcBorders>
              <w:top w:val="single" w:color="auto" w:sz="6" w:space="0"/>
              <w:left w:val="single" w:color="auto" w:sz="6" w:space="0"/>
              <w:bottom w:val="single" w:color="auto" w:sz="6" w:space="0"/>
              <w:right w:val="single" w:color="auto" w:sz="18" w:space="0"/>
            </w:tcBorders>
            <w:vAlign w:val="center"/>
          </w:tcPr>
          <w:p w14:paraId="5FEE6B4C">
            <w:pPr>
              <w:rPr>
                <w:rFonts w:ascii="宋体" w:hAnsi="宋体" w:eastAsia="宋体"/>
                <w:bCs/>
              </w:rPr>
            </w:pPr>
            <w:r>
              <w:rPr>
                <w:rFonts w:ascii="宋体" w:hAnsi="宋体" w:eastAsia="宋体"/>
              </w:rPr>
              <w:t>参与的供应商全部为符合政策要求的中小企业</w:t>
            </w:r>
          </w:p>
        </w:tc>
      </w:tr>
      <w:tr w14:paraId="40B204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5DFFD9D0">
            <w:pPr>
              <w:spacing w:line="312" w:lineRule="auto"/>
              <w:jc w:val="center"/>
              <w:rPr>
                <w:rFonts w:ascii="宋体" w:hAnsi="宋体" w:eastAsia="宋体"/>
                <w:kern w:val="0"/>
                <w:sz w:val="18"/>
                <w:szCs w:val="21"/>
              </w:rPr>
            </w:pPr>
          </w:p>
        </w:tc>
        <w:tc>
          <w:tcPr>
            <w:tcW w:w="9285" w:type="dxa"/>
            <w:tcBorders>
              <w:top w:val="single" w:color="auto" w:sz="6" w:space="0"/>
              <w:left w:val="single" w:color="auto" w:sz="6" w:space="0"/>
              <w:bottom w:val="single" w:color="auto" w:sz="6" w:space="0"/>
              <w:right w:val="single" w:color="auto" w:sz="18" w:space="0"/>
            </w:tcBorders>
            <w:vAlign w:val="center"/>
          </w:tcPr>
          <w:p w14:paraId="6E5B3EC1">
            <w:pPr>
              <w:spacing w:line="312" w:lineRule="auto"/>
              <w:jc w:val="center"/>
              <w:rPr>
                <w:rFonts w:ascii="宋体" w:hAnsi="宋体" w:eastAsia="宋体"/>
                <w:kern w:val="0"/>
                <w:sz w:val="18"/>
                <w:szCs w:val="21"/>
              </w:rPr>
            </w:pPr>
            <w:r>
              <w:rPr>
                <w:rFonts w:hint="eastAsia" w:ascii="宋体" w:hAnsi="宋体" w:eastAsia="宋体"/>
                <w:b/>
                <w:kern w:val="0"/>
                <w:sz w:val="20"/>
                <w:szCs w:val="20"/>
              </w:rPr>
              <w:t>符合性评审内容</w:t>
            </w:r>
          </w:p>
        </w:tc>
      </w:tr>
      <w:tr w14:paraId="77140C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15F35D6A">
            <w:pPr>
              <w:spacing w:line="312" w:lineRule="auto"/>
              <w:jc w:val="center"/>
              <w:rPr>
                <w:rFonts w:ascii="宋体" w:hAnsi="宋体" w:eastAsia="宋体"/>
                <w:kern w:val="0"/>
                <w:sz w:val="18"/>
                <w:szCs w:val="21"/>
              </w:rPr>
            </w:pPr>
            <w:r>
              <w:rPr>
                <w:rFonts w:hint="eastAsia" w:ascii="宋体" w:hAnsi="宋体" w:eastAsia="宋体"/>
                <w:kern w:val="0"/>
                <w:sz w:val="18"/>
                <w:szCs w:val="21"/>
              </w:rPr>
              <w:t>1</w:t>
            </w:r>
          </w:p>
        </w:tc>
        <w:tc>
          <w:tcPr>
            <w:tcW w:w="9285" w:type="dxa"/>
            <w:tcBorders>
              <w:top w:val="single" w:color="auto" w:sz="6" w:space="0"/>
              <w:left w:val="single" w:color="auto" w:sz="6" w:space="0"/>
              <w:bottom w:val="single" w:color="auto" w:sz="6" w:space="0"/>
              <w:right w:val="single" w:color="auto" w:sz="18" w:space="0"/>
            </w:tcBorders>
            <w:vAlign w:val="center"/>
          </w:tcPr>
          <w:p w14:paraId="4789955C">
            <w:pPr>
              <w:spacing w:line="312" w:lineRule="auto"/>
              <w:jc w:val="left"/>
              <w:rPr>
                <w:rFonts w:ascii="宋体" w:hAnsi="宋体" w:eastAsia="宋体"/>
                <w:b/>
                <w:kern w:val="0"/>
                <w:sz w:val="20"/>
                <w:szCs w:val="20"/>
              </w:rPr>
            </w:pPr>
            <w:r>
              <w:rPr>
                <w:rFonts w:hint="eastAsia" w:ascii="宋体" w:hAnsi="宋体" w:eastAsia="宋体" w:cs="宋体"/>
              </w:rPr>
              <w:t>磋商函已提交并符合竞争性磋商文件要求的。</w:t>
            </w:r>
          </w:p>
        </w:tc>
      </w:tr>
      <w:tr w14:paraId="484A83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3CC3ED27">
            <w:pPr>
              <w:spacing w:line="312" w:lineRule="auto"/>
              <w:jc w:val="center"/>
              <w:rPr>
                <w:rFonts w:ascii="宋体" w:hAnsi="宋体" w:eastAsia="宋体"/>
                <w:kern w:val="0"/>
                <w:sz w:val="20"/>
                <w:szCs w:val="21"/>
              </w:rPr>
            </w:pPr>
            <w:r>
              <w:rPr>
                <w:rFonts w:hint="eastAsia" w:ascii="宋体" w:hAnsi="宋体" w:eastAsia="宋体"/>
                <w:kern w:val="0"/>
                <w:sz w:val="20"/>
                <w:szCs w:val="21"/>
              </w:rPr>
              <w:t>2</w:t>
            </w:r>
          </w:p>
        </w:tc>
        <w:tc>
          <w:tcPr>
            <w:tcW w:w="9285" w:type="dxa"/>
            <w:tcBorders>
              <w:top w:val="single" w:color="auto" w:sz="6" w:space="0"/>
              <w:left w:val="single" w:color="auto" w:sz="6" w:space="0"/>
              <w:bottom w:val="single" w:color="auto" w:sz="6" w:space="0"/>
              <w:right w:val="single" w:color="auto" w:sz="18" w:space="0"/>
            </w:tcBorders>
            <w:vAlign w:val="center"/>
          </w:tcPr>
          <w:p w14:paraId="536675D8">
            <w:pPr>
              <w:rPr>
                <w:rFonts w:ascii="宋体" w:hAnsi="宋体" w:eastAsia="宋体"/>
              </w:rPr>
            </w:pPr>
            <w:r>
              <w:rPr>
                <w:rFonts w:ascii="宋体" w:hAnsi="宋体" w:eastAsia="宋体"/>
              </w:rPr>
              <w:t>按照竞争性磋商文件规定要求签署、盖章且响应文件有法定代表人签字，或签字人有法定代表人有效授权书的。</w:t>
            </w:r>
          </w:p>
        </w:tc>
      </w:tr>
      <w:tr w14:paraId="66FA1C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5A9FDDBF">
            <w:pPr>
              <w:spacing w:line="312" w:lineRule="auto"/>
              <w:jc w:val="center"/>
              <w:rPr>
                <w:rFonts w:ascii="宋体" w:hAnsi="宋体" w:eastAsia="宋体"/>
                <w:kern w:val="0"/>
                <w:sz w:val="20"/>
                <w:szCs w:val="21"/>
              </w:rPr>
            </w:pPr>
            <w:r>
              <w:rPr>
                <w:rFonts w:hint="eastAsia" w:ascii="宋体" w:hAnsi="宋体" w:eastAsia="宋体"/>
                <w:kern w:val="0"/>
                <w:sz w:val="20"/>
                <w:szCs w:val="21"/>
              </w:rPr>
              <w:t>3</w:t>
            </w:r>
          </w:p>
        </w:tc>
        <w:tc>
          <w:tcPr>
            <w:tcW w:w="9285" w:type="dxa"/>
            <w:tcBorders>
              <w:top w:val="single" w:color="auto" w:sz="6" w:space="0"/>
              <w:left w:val="single" w:color="auto" w:sz="6" w:space="0"/>
              <w:bottom w:val="single" w:color="auto" w:sz="6" w:space="0"/>
              <w:right w:val="single" w:color="auto" w:sz="18" w:space="0"/>
            </w:tcBorders>
            <w:vAlign w:val="center"/>
          </w:tcPr>
          <w:p w14:paraId="170E368B">
            <w:pPr>
              <w:rPr>
                <w:rFonts w:ascii="宋体" w:hAnsi="宋体" w:eastAsia="宋体"/>
              </w:rPr>
            </w:pPr>
            <w:r>
              <w:rPr>
                <w:rFonts w:hint="eastAsia" w:ascii="宋体" w:hAnsi="宋体" w:eastAsia="宋体" w:cs="宋体"/>
              </w:rPr>
              <w:t>投标报价下浮率范围</w:t>
            </w:r>
            <w:r>
              <w:rPr>
                <w:rFonts w:hint="eastAsia" w:ascii="宋体" w:hAnsi="宋体" w:eastAsia="宋体" w:cs="宋体"/>
                <w:lang w:val="en-US" w:eastAsia="zh-CN"/>
              </w:rPr>
              <w:t>10</w:t>
            </w:r>
            <w:r>
              <w:rPr>
                <w:rFonts w:hint="eastAsia" w:ascii="宋体" w:hAnsi="宋体" w:eastAsia="宋体" w:cs="宋体"/>
              </w:rPr>
              <w:t>%-100%，也没有为负数，且是固定唯一值的</w:t>
            </w:r>
            <w:r>
              <w:rPr>
                <w:rFonts w:ascii="宋体" w:hAnsi="宋体" w:eastAsia="宋体"/>
              </w:rPr>
              <w:t>。</w:t>
            </w:r>
          </w:p>
        </w:tc>
      </w:tr>
      <w:tr w14:paraId="3A8403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01057E8D">
            <w:pPr>
              <w:spacing w:line="312" w:lineRule="auto"/>
              <w:jc w:val="center"/>
              <w:rPr>
                <w:rFonts w:ascii="宋体" w:hAnsi="宋体" w:eastAsia="宋体"/>
                <w:kern w:val="0"/>
                <w:sz w:val="20"/>
                <w:szCs w:val="21"/>
              </w:rPr>
            </w:pPr>
            <w:r>
              <w:rPr>
                <w:rFonts w:hint="eastAsia" w:ascii="宋体" w:hAnsi="宋体" w:eastAsia="宋体"/>
                <w:kern w:val="0"/>
                <w:sz w:val="20"/>
                <w:szCs w:val="21"/>
              </w:rPr>
              <w:t>4</w:t>
            </w:r>
          </w:p>
        </w:tc>
        <w:tc>
          <w:tcPr>
            <w:tcW w:w="9285" w:type="dxa"/>
            <w:tcBorders>
              <w:top w:val="single" w:color="auto" w:sz="6" w:space="0"/>
              <w:left w:val="single" w:color="auto" w:sz="6" w:space="0"/>
              <w:bottom w:val="single" w:color="auto" w:sz="6" w:space="0"/>
              <w:right w:val="single" w:color="auto" w:sz="18" w:space="0"/>
            </w:tcBorders>
            <w:vAlign w:val="center"/>
          </w:tcPr>
          <w:p w14:paraId="6EB242B8">
            <w:pPr>
              <w:rPr>
                <w:rFonts w:ascii="宋体" w:hAnsi="宋体" w:eastAsia="宋体" w:cs="宋体"/>
              </w:rPr>
            </w:pPr>
            <w:r>
              <w:rPr>
                <w:rFonts w:hint="eastAsia" w:ascii="宋体" w:hAnsi="宋体" w:eastAsia="宋体" w:cs="宋体"/>
              </w:rPr>
              <w:t>响应文件完全满足竞争性磋商文件的实质性条款（即标注★号条款）无负偏离的。</w:t>
            </w:r>
          </w:p>
        </w:tc>
      </w:tr>
      <w:tr w14:paraId="1E41E2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tcBorders>
              <w:top w:val="single" w:color="auto" w:sz="6" w:space="0"/>
              <w:left w:val="single" w:color="auto" w:sz="18" w:space="0"/>
              <w:bottom w:val="single" w:color="auto" w:sz="6" w:space="0"/>
              <w:right w:val="single" w:color="auto" w:sz="6" w:space="0"/>
            </w:tcBorders>
            <w:vAlign w:val="center"/>
          </w:tcPr>
          <w:p w14:paraId="3BE8905F">
            <w:pPr>
              <w:spacing w:line="312" w:lineRule="auto"/>
              <w:jc w:val="center"/>
              <w:rPr>
                <w:rFonts w:ascii="宋体" w:hAnsi="宋体" w:eastAsia="宋体"/>
                <w:kern w:val="0"/>
                <w:sz w:val="20"/>
                <w:szCs w:val="21"/>
              </w:rPr>
            </w:pPr>
            <w:r>
              <w:rPr>
                <w:rFonts w:hint="eastAsia" w:ascii="宋体" w:hAnsi="宋体" w:eastAsia="宋体"/>
                <w:kern w:val="0"/>
                <w:sz w:val="20"/>
                <w:szCs w:val="21"/>
              </w:rPr>
              <w:t>5</w:t>
            </w:r>
          </w:p>
        </w:tc>
        <w:tc>
          <w:tcPr>
            <w:tcW w:w="9285" w:type="dxa"/>
            <w:tcBorders>
              <w:top w:val="single" w:color="auto" w:sz="6" w:space="0"/>
              <w:left w:val="single" w:color="auto" w:sz="6" w:space="0"/>
              <w:bottom w:val="single" w:color="auto" w:sz="6" w:space="0"/>
              <w:right w:val="single" w:color="auto" w:sz="18" w:space="0"/>
            </w:tcBorders>
            <w:vAlign w:val="center"/>
          </w:tcPr>
          <w:p w14:paraId="622AA9BC">
            <w:pPr>
              <w:rPr>
                <w:rFonts w:ascii="宋体" w:hAnsi="宋体" w:eastAsia="宋体"/>
              </w:rPr>
            </w:pPr>
            <w:r>
              <w:rPr>
                <w:rFonts w:ascii="宋体" w:hAnsi="宋体" w:eastAsia="宋体"/>
              </w:rPr>
              <w:t>响应文件没有竞争性磋商文件中规定的其它无效投标条款的。</w:t>
            </w:r>
          </w:p>
        </w:tc>
      </w:tr>
    </w:tbl>
    <w:p w14:paraId="51077235">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一、技术部分（</w:t>
      </w:r>
      <w:r>
        <w:rPr>
          <w:rFonts w:hint="eastAsia" w:ascii="宋体" w:hAnsi="宋体" w:eastAsia="宋体" w:cs="宋体"/>
          <w:b/>
          <w:sz w:val="28"/>
          <w:szCs w:val="28"/>
          <w:lang w:val="en-US" w:eastAsia="zh-CN"/>
        </w:rPr>
        <w:t>32</w:t>
      </w:r>
      <w:r>
        <w:rPr>
          <w:rFonts w:hint="eastAsia" w:ascii="宋体" w:hAnsi="宋体" w:eastAsia="宋体" w:cs="宋体"/>
          <w:b/>
          <w:sz w:val="28"/>
          <w:szCs w:val="28"/>
        </w:rPr>
        <w:t>分）</w:t>
      </w:r>
    </w:p>
    <w:tbl>
      <w:tblPr>
        <w:tblStyle w:val="39"/>
        <w:tblW w:w="100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23"/>
        <w:gridCol w:w="7538"/>
        <w:gridCol w:w="639"/>
      </w:tblGrid>
      <w:tr w14:paraId="44520F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823" w:type="dxa"/>
            <w:shd w:val="clear" w:color="auto" w:fill="auto"/>
            <w:vAlign w:val="center"/>
          </w:tcPr>
          <w:p w14:paraId="18628CAF">
            <w:pPr>
              <w:jc w:val="center"/>
              <w:rPr>
                <w:rFonts w:hint="eastAsia" w:ascii="宋体" w:hAnsi="宋体" w:eastAsia="宋体" w:cs="宋体"/>
                <w:b/>
                <w:sz w:val="21"/>
                <w:szCs w:val="21"/>
              </w:rPr>
            </w:pPr>
            <w:r>
              <w:rPr>
                <w:rFonts w:hint="eastAsia" w:ascii="宋体" w:hAnsi="宋体" w:eastAsia="宋体" w:cs="宋体"/>
                <w:b/>
                <w:sz w:val="21"/>
                <w:szCs w:val="21"/>
              </w:rPr>
              <w:t>评审内容</w:t>
            </w:r>
          </w:p>
        </w:tc>
        <w:tc>
          <w:tcPr>
            <w:tcW w:w="7538" w:type="dxa"/>
            <w:tcBorders>
              <w:right w:val="single" w:color="auto" w:sz="4" w:space="0"/>
            </w:tcBorders>
            <w:shd w:val="clear" w:color="auto" w:fill="auto"/>
            <w:vAlign w:val="center"/>
          </w:tcPr>
          <w:p w14:paraId="069A8F23">
            <w:pPr>
              <w:jc w:val="center"/>
              <w:rPr>
                <w:rFonts w:hint="eastAsia" w:ascii="宋体" w:hAnsi="宋体" w:eastAsia="宋体" w:cs="宋体"/>
                <w:b/>
                <w:sz w:val="21"/>
                <w:szCs w:val="21"/>
              </w:rPr>
            </w:pPr>
            <w:r>
              <w:rPr>
                <w:rFonts w:hint="eastAsia" w:ascii="宋体" w:hAnsi="宋体" w:eastAsia="宋体" w:cs="宋体"/>
                <w:b/>
                <w:sz w:val="21"/>
                <w:szCs w:val="21"/>
              </w:rPr>
              <w:t>评审标准</w:t>
            </w:r>
          </w:p>
        </w:tc>
        <w:tc>
          <w:tcPr>
            <w:tcW w:w="639" w:type="dxa"/>
            <w:tcBorders>
              <w:left w:val="single" w:color="auto" w:sz="4" w:space="0"/>
            </w:tcBorders>
            <w:shd w:val="clear" w:color="auto" w:fill="auto"/>
            <w:vAlign w:val="center"/>
          </w:tcPr>
          <w:p w14:paraId="578E7E24">
            <w:pPr>
              <w:jc w:val="center"/>
              <w:rPr>
                <w:rFonts w:hint="eastAsia" w:ascii="宋体" w:hAnsi="宋体" w:eastAsia="宋体" w:cs="宋体"/>
                <w:b/>
                <w:sz w:val="21"/>
                <w:szCs w:val="21"/>
              </w:rPr>
            </w:pPr>
            <w:r>
              <w:rPr>
                <w:rFonts w:hint="eastAsia" w:ascii="宋体" w:hAnsi="宋体" w:eastAsia="宋体" w:cs="宋体"/>
                <w:b/>
                <w:sz w:val="21"/>
                <w:szCs w:val="21"/>
              </w:rPr>
              <w:t>分值</w:t>
            </w:r>
          </w:p>
        </w:tc>
      </w:tr>
      <w:tr w14:paraId="4787FD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84" w:hRule="atLeast"/>
          <w:jc w:val="center"/>
        </w:trPr>
        <w:tc>
          <w:tcPr>
            <w:tcW w:w="1823" w:type="dxa"/>
            <w:shd w:val="clear" w:color="auto" w:fill="auto"/>
            <w:vAlign w:val="center"/>
          </w:tcPr>
          <w:p w14:paraId="4251E7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服务实施方案 (</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7538" w:type="dxa"/>
            <w:tcBorders>
              <w:right w:val="single" w:color="auto" w:sz="4" w:space="0"/>
            </w:tcBorders>
            <w:shd w:val="clear" w:color="auto" w:fill="auto"/>
          </w:tcPr>
          <w:p w14:paraId="56694A97">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根据投标人对本项目的服务实施方案情况进行评价： 1.投标人制订的服务实施方案工作目标明确，有明确的工作职责、落实工作的措施，人员配备齐全且岗位配置合理，从业人员管理制度完善科学，具有严格的工作服务规范，有明确的配送要求和质量标准。供货配套系统科学严谨，配送制度和配送路线灵活、科学、合理、细致。整个服务方案能做到详细且针对性极强，得</w:t>
            </w:r>
            <w:r>
              <w:rPr>
                <w:rFonts w:hint="eastAsia" w:ascii="宋体" w:hAnsi="宋体" w:eastAsia="宋体" w:cs="宋体"/>
                <w:sz w:val="21"/>
                <w:szCs w:val="21"/>
                <w:lang w:val="en-US" w:eastAsia="zh-CN"/>
              </w:rPr>
              <w:t>8</w:t>
            </w:r>
            <w:r>
              <w:rPr>
                <w:rFonts w:hint="eastAsia" w:ascii="宋体" w:hAnsi="宋体" w:eastAsia="宋体" w:cs="宋体"/>
                <w:sz w:val="21"/>
                <w:szCs w:val="21"/>
              </w:rPr>
              <w:t>分； 2.投标人制订的服务实施方案工作目标比较明确，有比较清晰的工作职责、落实工作的措施，人员配备比较齐全且岗位设置比较合理 ，从业人员管理制度比较完善，具有比较严格的工作服务规范、有比较明确的配送要求和质量标准。供货配套系统比较严谨，配送制度和配送路线比较灵活、比较合理。整个服务方案能比较详细且有一定的针对性，得</w:t>
            </w:r>
            <w:r>
              <w:rPr>
                <w:rFonts w:hint="eastAsia" w:ascii="宋体" w:hAnsi="宋体" w:eastAsia="宋体" w:cs="宋体"/>
                <w:sz w:val="21"/>
                <w:szCs w:val="21"/>
                <w:lang w:val="en-US" w:eastAsia="zh-CN"/>
              </w:rPr>
              <w:t>5</w:t>
            </w:r>
            <w:r>
              <w:rPr>
                <w:rFonts w:hint="eastAsia" w:ascii="宋体" w:hAnsi="宋体" w:eastAsia="宋体" w:cs="宋体"/>
                <w:sz w:val="21"/>
                <w:szCs w:val="21"/>
              </w:rPr>
              <w:t>分； 3.投标人制订的服务方案方案不够科学、不够合理、不够详细，针对性弱的。工作职责、人员配置、管理制度、配送制度等都不够完善的，得</w:t>
            </w:r>
            <w:r>
              <w:rPr>
                <w:rFonts w:hint="eastAsia" w:ascii="宋体" w:hAnsi="宋体" w:eastAsia="宋体" w:cs="宋体"/>
                <w:sz w:val="21"/>
                <w:szCs w:val="21"/>
                <w:lang w:val="en-US" w:eastAsia="zh-CN"/>
              </w:rPr>
              <w:t>1</w:t>
            </w:r>
            <w:r>
              <w:rPr>
                <w:rFonts w:hint="eastAsia" w:ascii="宋体" w:hAnsi="宋体" w:eastAsia="宋体" w:cs="宋体"/>
                <w:sz w:val="21"/>
                <w:szCs w:val="21"/>
              </w:rPr>
              <w:t>分； 4.不提供服务实施方案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639" w:type="dxa"/>
            <w:tcBorders>
              <w:left w:val="single" w:color="auto" w:sz="4" w:space="0"/>
            </w:tcBorders>
            <w:shd w:val="clear" w:color="auto" w:fill="auto"/>
            <w:vAlign w:val="center"/>
          </w:tcPr>
          <w:p w14:paraId="76F41ECB">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r>
      <w:tr w14:paraId="0DE3CB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797" w:hRule="atLeast"/>
          <w:jc w:val="center"/>
        </w:trPr>
        <w:tc>
          <w:tcPr>
            <w:tcW w:w="1823" w:type="dxa"/>
            <w:shd w:val="clear" w:color="auto" w:fill="auto"/>
            <w:vAlign w:val="center"/>
          </w:tcPr>
          <w:p w14:paraId="2DBFC99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货物质量保证措施</w:t>
            </w:r>
          </w:p>
          <w:p w14:paraId="16DD40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7538" w:type="dxa"/>
            <w:tcBorders>
              <w:right w:val="single" w:color="auto" w:sz="4" w:space="0"/>
            </w:tcBorders>
            <w:shd w:val="clear" w:color="auto" w:fill="auto"/>
          </w:tcPr>
          <w:p w14:paraId="329ADA4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根据投标人对本项目提供的货物来源、验收方案、质量和安全保证措施进行评价： 1.货物的来源非常清晰具体，溯源方案切实可行，有科学的货物源头管理方式，具有严谨的食材进货制度，仓储货物与运输质量安全均得到有效保障。货物验收方案非常全面，质量及安全保障措施非常具体、完善，能完全符合采购需求，得</w:t>
            </w:r>
            <w:r>
              <w:rPr>
                <w:rFonts w:hint="eastAsia" w:ascii="宋体" w:hAnsi="宋体" w:eastAsia="宋体" w:cs="宋体"/>
                <w:sz w:val="21"/>
                <w:szCs w:val="21"/>
                <w:lang w:val="en-US" w:eastAsia="zh-CN"/>
              </w:rPr>
              <w:t>8</w:t>
            </w:r>
            <w:r>
              <w:rPr>
                <w:rFonts w:hint="eastAsia" w:ascii="宋体" w:hAnsi="宋体" w:eastAsia="宋体" w:cs="宋体"/>
                <w:sz w:val="21"/>
                <w:szCs w:val="21"/>
              </w:rPr>
              <w:t>分； 2.货物的来源比较清晰具体，溯源方案比较可行，验收方案比较全面，质量及安全保证措施较合理、较完善，能基本符合采购需求，得</w:t>
            </w:r>
            <w:r>
              <w:rPr>
                <w:rFonts w:hint="eastAsia" w:ascii="宋体" w:hAnsi="宋体" w:eastAsia="宋体" w:cs="宋体"/>
                <w:sz w:val="21"/>
                <w:szCs w:val="21"/>
                <w:lang w:val="en-US" w:eastAsia="zh-CN"/>
              </w:rPr>
              <w:t>5</w:t>
            </w:r>
            <w:r>
              <w:rPr>
                <w:rFonts w:hint="eastAsia" w:ascii="宋体" w:hAnsi="宋体" w:eastAsia="宋体" w:cs="宋体"/>
                <w:sz w:val="21"/>
                <w:szCs w:val="21"/>
              </w:rPr>
              <w:t>分； 3.货物的来源不够清晰具体，货物溯源方案一般，所提供的验收方案不够全面，质量及安全保证措施不够具体、不够完善的，得</w:t>
            </w:r>
            <w:r>
              <w:rPr>
                <w:rFonts w:hint="eastAsia" w:ascii="宋体" w:hAnsi="宋体" w:eastAsia="宋体" w:cs="宋体"/>
                <w:sz w:val="21"/>
                <w:szCs w:val="21"/>
                <w:lang w:val="en-US" w:eastAsia="zh-CN"/>
              </w:rPr>
              <w:t>1</w:t>
            </w:r>
            <w:r>
              <w:rPr>
                <w:rFonts w:hint="eastAsia" w:ascii="宋体" w:hAnsi="宋体" w:eastAsia="宋体" w:cs="宋体"/>
                <w:sz w:val="21"/>
                <w:szCs w:val="21"/>
              </w:rPr>
              <w:t>分； 4.不提供货物质量保证措施</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639" w:type="dxa"/>
            <w:tcBorders>
              <w:left w:val="single" w:color="auto" w:sz="4" w:space="0"/>
            </w:tcBorders>
            <w:shd w:val="clear" w:color="auto" w:fill="auto"/>
            <w:vAlign w:val="center"/>
          </w:tcPr>
          <w:p w14:paraId="15867BE8">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r>
      <w:tr w14:paraId="60B900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13" w:hRule="atLeast"/>
          <w:jc w:val="center"/>
        </w:trPr>
        <w:tc>
          <w:tcPr>
            <w:tcW w:w="1823" w:type="dxa"/>
            <w:shd w:val="clear" w:color="auto" w:fill="auto"/>
            <w:vAlign w:val="center"/>
          </w:tcPr>
          <w:p w14:paraId="4B2DBE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售后服务承诺 (</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7538" w:type="dxa"/>
            <w:tcBorders>
              <w:right w:val="single" w:color="auto" w:sz="4" w:space="0"/>
            </w:tcBorders>
            <w:shd w:val="clear" w:color="auto" w:fill="auto"/>
          </w:tcPr>
          <w:p w14:paraId="26EECB69">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根据投标人对本项目提供的售后服务承诺情况进行评价： 1.投标人能提供售后服务承诺。在遵纪守法、持证经营、食品进货、贮存、库存检查，管理人员健康管理、食材质量管理 、配送车辆与随国配送人员管理等方面的售后服务承诺非常详细具体，完全满足采购要求的，得</w:t>
            </w:r>
            <w:r>
              <w:rPr>
                <w:rFonts w:hint="eastAsia" w:ascii="宋体" w:hAnsi="宋体" w:eastAsia="宋体" w:cs="宋体"/>
                <w:sz w:val="21"/>
                <w:szCs w:val="21"/>
                <w:lang w:val="en-US" w:eastAsia="zh-CN"/>
              </w:rPr>
              <w:t>8</w:t>
            </w:r>
            <w:r>
              <w:rPr>
                <w:rFonts w:hint="eastAsia" w:ascii="宋体" w:hAnsi="宋体" w:eastAsia="宋体" w:cs="宋体"/>
                <w:sz w:val="21"/>
                <w:szCs w:val="21"/>
              </w:rPr>
              <w:t>分； 2.投标人能提供售后服务承诺。承诺的内容基本涵盖以下内容：遵纪守法、持证经营、食品进货、贮存、库存检查，管理人员健康管理、食材质量管理、配送车辆与随车配送人员管理。承诺的内容比较详细，基本能满足采购需求的，得</w:t>
            </w:r>
            <w:r>
              <w:rPr>
                <w:rFonts w:hint="eastAsia" w:ascii="宋体" w:hAnsi="宋体" w:eastAsia="宋体" w:cs="宋体"/>
                <w:sz w:val="21"/>
                <w:szCs w:val="21"/>
                <w:lang w:val="en-US" w:eastAsia="zh-CN"/>
              </w:rPr>
              <w:t>5</w:t>
            </w:r>
            <w:r>
              <w:rPr>
                <w:rFonts w:hint="eastAsia" w:ascii="宋体" w:hAnsi="宋体" w:eastAsia="宋体" w:cs="宋体"/>
                <w:sz w:val="21"/>
                <w:szCs w:val="21"/>
              </w:rPr>
              <w:t>分； 3.投标人能提供售后服务承诺。但承诺不够详细具体，内容简单，基本能满足采购需求的，得</w:t>
            </w:r>
            <w:r>
              <w:rPr>
                <w:rFonts w:hint="eastAsia" w:ascii="宋体" w:hAnsi="宋体" w:eastAsia="宋体" w:cs="宋体"/>
                <w:sz w:val="21"/>
                <w:szCs w:val="21"/>
                <w:lang w:val="en-US" w:eastAsia="zh-CN"/>
              </w:rPr>
              <w:t>1</w:t>
            </w:r>
            <w:r>
              <w:rPr>
                <w:rFonts w:hint="eastAsia" w:ascii="宋体" w:hAnsi="宋体" w:eastAsia="宋体" w:cs="宋体"/>
                <w:sz w:val="21"/>
                <w:szCs w:val="21"/>
              </w:rPr>
              <w:t>分； 4.不提供售后服务承诺</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0</w:t>
            </w:r>
            <w:r>
              <w:rPr>
                <w:rFonts w:hint="eastAsia" w:ascii="宋体" w:hAnsi="宋体" w:eastAsia="宋体" w:cs="宋体"/>
                <w:sz w:val="21"/>
                <w:szCs w:val="21"/>
              </w:rPr>
              <w:t>分。 注：投标时须提供售后服务承诺函，并加盖公章。</w:t>
            </w:r>
          </w:p>
        </w:tc>
        <w:tc>
          <w:tcPr>
            <w:tcW w:w="639" w:type="dxa"/>
            <w:tcBorders>
              <w:left w:val="single" w:color="auto" w:sz="4" w:space="0"/>
            </w:tcBorders>
            <w:shd w:val="clear" w:color="auto" w:fill="auto"/>
            <w:vAlign w:val="center"/>
          </w:tcPr>
          <w:p w14:paraId="4B39D08F">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r>
      <w:tr w14:paraId="386918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823" w:type="dxa"/>
            <w:shd w:val="clear" w:color="auto" w:fill="auto"/>
            <w:vAlign w:val="center"/>
          </w:tcPr>
          <w:p w14:paraId="4EAAA10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特殊情况应急处理预案 </w:t>
            </w:r>
          </w:p>
          <w:p w14:paraId="5D63C54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7538" w:type="dxa"/>
            <w:tcBorders>
              <w:right w:val="single" w:color="auto" w:sz="4" w:space="0"/>
            </w:tcBorders>
            <w:shd w:val="clear" w:color="auto" w:fill="auto"/>
          </w:tcPr>
          <w:p w14:paraId="151D9C2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根据投标人对本项目的特殊情况应急处理预案进行评价： 1.投标人制订的特殊情况应急预案能充分考虑到各种突发事件（如临时应急配送、停水停电、恶劣天气等应急内容），预案内容完整、预案处理措施详尽科学、各项保证措施可靠、针对性强、合理完善、实施计划切实可行，得</w:t>
            </w:r>
            <w:r>
              <w:rPr>
                <w:rFonts w:hint="eastAsia" w:ascii="宋体" w:hAnsi="宋体" w:eastAsia="宋体" w:cs="宋体"/>
                <w:sz w:val="21"/>
                <w:szCs w:val="21"/>
                <w:lang w:val="en-US" w:eastAsia="zh-CN"/>
              </w:rPr>
              <w:t>8</w:t>
            </w:r>
            <w:r>
              <w:rPr>
                <w:rFonts w:hint="eastAsia" w:ascii="宋体" w:hAnsi="宋体" w:eastAsia="宋体" w:cs="宋体"/>
                <w:sz w:val="21"/>
                <w:szCs w:val="21"/>
              </w:rPr>
              <w:t>分； 2.投标人制订的特殊情况应急预案内容能考虑到各种突发事件，应急预案内容比较完整、预案处理措施比较详尽科学、各项保证措施比较可靠的、实施计划比较可行，得</w:t>
            </w:r>
            <w:r>
              <w:rPr>
                <w:rFonts w:hint="eastAsia" w:ascii="宋体" w:hAnsi="宋体" w:eastAsia="宋体" w:cs="宋体"/>
                <w:sz w:val="21"/>
                <w:szCs w:val="21"/>
                <w:lang w:val="en-US" w:eastAsia="zh-CN"/>
              </w:rPr>
              <w:t>5</w:t>
            </w:r>
            <w:r>
              <w:rPr>
                <w:rFonts w:hint="eastAsia" w:ascii="宋体" w:hAnsi="宋体" w:eastAsia="宋体" w:cs="宋体"/>
                <w:sz w:val="21"/>
                <w:szCs w:val="21"/>
              </w:rPr>
              <w:t>分； 3.投标人制订的特殊情况应急预案内容只能考虑到个别的突发事件，对突发事件的认识不够充分，预案内容不完整，预案处理措施欠佳、各项保证措施一般、实施计划一般的，得</w:t>
            </w:r>
            <w:r>
              <w:rPr>
                <w:rFonts w:hint="eastAsia" w:ascii="宋体" w:hAnsi="宋体" w:eastAsia="宋体" w:cs="宋体"/>
                <w:sz w:val="21"/>
                <w:szCs w:val="21"/>
                <w:lang w:val="en-US" w:eastAsia="zh-CN"/>
              </w:rPr>
              <w:t>1</w:t>
            </w:r>
            <w:r>
              <w:rPr>
                <w:rFonts w:hint="eastAsia" w:ascii="宋体" w:hAnsi="宋体" w:eastAsia="宋体" w:cs="宋体"/>
                <w:sz w:val="21"/>
                <w:szCs w:val="21"/>
              </w:rPr>
              <w:t>分； 4.不提供特殊情况应急处理预案</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639" w:type="dxa"/>
            <w:tcBorders>
              <w:left w:val="single" w:color="auto" w:sz="4" w:space="0"/>
            </w:tcBorders>
            <w:shd w:val="clear" w:color="auto" w:fill="auto"/>
            <w:vAlign w:val="center"/>
          </w:tcPr>
          <w:p w14:paraId="1EE99D13">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r>
    </w:tbl>
    <w:p w14:paraId="0485A96A">
      <w:pPr>
        <w:spacing w:line="360" w:lineRule="auto"/>
        <w:ind w:left="22" w:leftChars="-67" w:hanging="163" w:hangingChars="78"/>
        <w:rPr>
          <w:rFonts w:hint="eastAsia" w:ascii="宋体" w:hAnsi="宋体" w:eastAsia="宋体" w:cs="宋体"/>
          <w:sz w:val="21"/>
          <w:szCs w:val="21"/>
        </w:rPr>
      </w:pPr>
      <w:r>
        <w:rPr>
          <w:rFonts w:hint="eastAsia" w:ascii="宋体" w:hAnsi="宋体" w:eastAsia="宋体" w:cs="宋体"/>
          <w:sz w:val="21"/>
          <w:szCs w:val="21"/>
        </w:rPr>
        <w:t>备注：1.竞争性磋商文件要求提交的与评价指标体系相关的各类有效资料，响应供应商如未按要求提交的，该项评分为零分。</w:t>
      </w:r>
    </w:p>
    <w:p w14:paraId="10AF0F2F">
      <w:pPr>
        <w:widowControl/>
        <w:spacing w:line="360" w:lineRule="auto"/>
        <w:ind w:firstLine="434" w:firstLineChars="207"/>
        <w:rPr>
          <w:rFonts w:hint="eastAsia" w:ascii="宋体" w:hAnsi="宋体" w:eastAsia="宋体" w:cs="宋体"/>
          <w:sz w:val="24"/>
          <w:szCs w:val="24"/>
        </w:rPr>
      </w:pPr>
      <w:r>
        <w:rPr>
          <w:rFonts w:hint="eastAsia" w:ascii="宋体" w:hAnsi="宋体" w:eastAsia="宋体" w:cs="宋体"/>
          <w:sz w:val="21"/>
          <w:szCs w:val="21"/>
        </w:rPr>
        <w:t>2.技术评分：所有评委评分分值的算术平均值（四舍五入后，小数点后保留两位有效数）。</w:t>
      </w:r>
    </w:p>
    <w:p w14:paraId="3ED76135">
      <w:pPr>
        <w:rPr>
          <w:rFonts w:hint="eastAsia" w:ascii="宋体" w:hAnsi="宋体" w:eastAsia="宋体" w:cs="宋体"/>
          <w:b/>
          <w:sz w:val="24"/>
          <w:szCs w:val="24"/>
        </w:rPr>
      </w:pPr>
    </w:p>
    <w:p w14:paraId="40BEEFC8">
      <w:pPr>
        <w:rPr>
          <w:rFonts w:hint="eastAsia" w:ascii="宋体" w:hAnsi="宋体" w:eastAsia="宋体" w:cs="宋体"/>
          <w:b/>
          <w:sz w:val="24"/>
          <w:szCs w:val="24"/>
        </w:rPr>
      </w:pPr>
    </w:p>
    <w:p w14:paraId="0AACE2EE">
      <w:pPr>
        <w:rPr>
          <w:rFonts w:hint="eastAsia" w:ascii="宋体" w:hAnsi="宋体" w:eastAsia="宋体" w:cs="宋体"/>
          <w:b/>
          <w:sz w:val="24"/>
          <w:szCs w:val="24"/>
        </w:rPr>
      </w:pPr>
    </w:p>
    <w:p w14:paraId="667B096C">
      <w:pPr>
        <w:rPr>
          <w:rFonts w:hint="eastAsia" w:ascii="宋体" w:hAnsi="宋体" w:eastAsia="宋体" w:cs="宋体"/>
          <w:b/>
          <w:sz w:val="24"/>
          <w:szCs w:val="24"/>
        </w:rPr>
      </w:pPr>
    </w:p>
    <w:p w14:paraId="70E598B5">
      <w:pPr>
        <w:rPr>
          <w:rFonts w:hint="eastAsia" w:ascii="宋体" w:hAnsi="宋体" w:eastAsia="宋体" w:cs="宋体"/>
          <w:b/>
          <w:sz w:val="24"/>
          <w:szCs w:val="24"/>
        </w:rPr>
      </w:pPr>
    </w:p>
    <w:p w14:paraId="786B9C0D">
      <w:pPr>
        <w:rPr>
          <w:rFonts w:hint="eastAsia" w:ascii="宋体" w:hAnsi="宋体" w:eastAsia="宋体" w:cs="宋体"/>
          <w:b/>
          <w:sz w:val="24"/>
          <w:szCs w:val="24"/>
        </w:rPr>
      </w:pPr>
    </w:p>
    <w:p w14:paraId="6B4E5B68">
      <w:pPr>
        <w:rPr>
          <w:rFonts w:hint="eastAsia" w:ascii="宋体" w:hAnsi="宋体" w:eastAsia="宋体" w:cs="宋体"/>
          <w:b/>
          <w:sz w:val="24"/>
          <w:szCs w:val="24"/>
        </w:rPr>
      </w:pPr>
    </w:p>
    <w:p w14:paraId="08671E07">
      <w:pPr>
        <w:rPr>
          <w:rFonts w:hint="eastAsia" w:ascii="宋体" w:hAnsi="宋体" w:eastAsia="宋体" w:cs="宋体"/>
          <w:b/>
          <w:sz w:val="24"/>
          <w:szCs w:val="24"/>
        </w:rPr>
      </w:pPr>
    </w:p>
    <w:p w14:paraId="48B95614">
      <w:pPr>
        <w:widowControl/>
        <w:spacing w:line="360" w:lineRule="auto"/>
        <w:jc w:val="center"/>
        <w:rPr>
          <w:rFonts w:hint="eastAsia" w:ascii="宋体" w:hAnsi="宋体" w:eastAsia="宋体" w:cs="宋体"/>
          <w:sz w:val="28"/>
          <w:szCs w:val="28"/>
        </w:rPr>
      </w:pPr>
      <w:r>
        <w:rPr>
          <w:rFonts w:hint="eastAsia" w:ascii="宋体" w:hAnsi="宋体" w:eastAsia="宋体" w:cs="宋体"/>
          <w:b/>
          <w:sz w:val="28"/>
          <w:szCs w:val="28"/>
        </w:rPr>
        <w:t>二、商务部分（</w:t>
      </w:r>
      <w:r>
        <w:rPr>
          <w:rFonts w:hint="eastAsia" w:ascii="宋体" w:hAnsi="宋体" w:eastAsia="宋体" w:cs="宋体"/>
          <w:b/>
          <w:sz w:val="28"/>
          <w:szCs w:val="28"/>
          <w:lang w:val="en-US" w:eastAsia="zh-CN"/>
        </w:rPr>
        <w:t>17</w:t>
      </w:r>
      <w:r>
        <w:rPr>
          <w:rFonts w:hint="eastAsia" w:ascii="宋体" w:hAnsi="宋体" w:eastAsia="宋体" w:cs="宋体"/>
          <w:b/>
          <w:sz w:val="28"/>
          <w:szCs w:val="28"/>
        </w:rPr>
        <w:t>分）</w:t>
      </w:r>
    </w:p>
    <w:tbl>
      <w:tblPr>
        <w:tblStyle w:val="39"/>
        <w:tblW w:w="942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97"/>
        <w:gridCol w:w="6479"/>
        <w:gridCol w:w="1253"/>
      </w:tblGrid>
      <w:tr w14:paraId="28F81FB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8" w:type="dxa"/>
            <w:vAlign w:val="center"/>
          </w:tcPr>
          <w:p w14:paraId="31F4E18F">
            <w:pPr>
              <w:snapToGrid w:val="0"/>
              <w:spacing w:line="252"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197" w:type="dxa"/>
            <w:vAlign w:val="center"/>
          </w:tcPr>
          <w:p w14:paraId="58279F59">
            <w:pPr>
              <w:snapToGrid w:val="0"/>
              <w:spacing w:line="252" w:lineRule="auto"/>
              <w:jc w:val="center"/>
              <w:rPr>
                <w:rFonts w:hint="eastAsia" w:ascii="宋体" w:hAnsi="宋体" w:eastAsia="宋体" w:cs="宋体"/>
                <w:b/>
                <w:sz w:val="21"/>
                <w:szCs w:val="21"/>
              </w:rPr>
            </w:pPr>
            <w:r>
              <w:rPr>
                <w:rFonts w:hint="eastAsia" w:ascii="宋体" w:hAnsi="宋体" w:eastAsia="宋体" w:cs="宋体"/>
                <w:b/>
                <w:sz w:val="21"/>
                <w:szCs w:val="21"/>
              </w:rPr>
              <w:t>评分项目</w:t>
            </w:r>
          </w:p>
        </w:tc>
        <w:tc>
          <w:tcPr>
            <w:tcW w:w="6479" w:type="dxa"/>
            <w:vAlign w:val="center"/>
          </w:tcPr>
          <w:p w14:paraId="08C3BAD5">
            <w:pPr>
              <w:snapToGrid w:val="0"/>
              <w:spacing w:line="252" w:lineRule="auto"/>
              <w:jc w:val="center"/>
              <w:rPr>
                <w:rFonts w:hint="eastAsia" w:ascii="宋体" w:hAnsi="宋体" w:eastAsia="宋体" w:cs="宋体"/>
                <w:b/>
                <w:sz w:val="21"/>
                <w:szCs w:val="21"/>
              </w:rPr>
            </w:pPr>
            <w:r>
              <w:rPr>
                <w:rFonts w:hint="eastAsia" w:ascii="宋体" w:hAnsi="宋体" w:eastAsia="宋体" w:cs="宋体"/>
                <w:b/>
                <w:sz w:val="21"/>
                <w:szCs w:val="21"/>
              </w:rPr>
              <w:t>评审标准</w:t>
            </w:r>
          </w:p>
        </w:tc>
        <w:tc>
          <w:tcPr>
            <w:tcW w:w="1253" w:type="dxa"/>
            <w:vAlign w:val="center"/>
          </w:tcPr>
          <w:p w14:paraId="06D7F8AA">
            <w:pPr>
              <w:snapToGrid w:val="0"/>
              <w:spacing w:line="252"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r>
      <w:tr w14:paraId="7F93E24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498" w:type="dxa"/>
            <w:vAlign w:val="center"/>
          </w:tcPr>
          <w:p w14:paraId="3DA38B8D">
            <w:pPr>
              <w:snapToGrid w:val="0"/>
              <w:spacing w:line="25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7" w:type="dxa"/>
            <w:vAlign w:val="center"/>
          </w:tcPr>
          <w:p w14:paraId="7D6DE6BF">
            <w:pPr>
              <w:widowControl/>
              <w:spacing w:line="252" w:lineRule="auto"/>
              <w:jc w:val="center"/>
              <w:rPr>
                <w:rFonts w:hint="eastAsia" w:ascii="宋体" w:hAnsi="宋体" w:eastAsia="宋体" w:cs="宋体"/>
                <w:sz w:val="21"/>
                <w:szCs w:val="21"/>
              </w:rPr>
            </w:pPr>
            <w:r>
              <w:rPr>
                <w:rFonts w:hint="eastAsia" w:ascii="宋体" w:hAnsi="宋体" w:eastAsia="宋体" w:cs="宋体"/>
                <w:sz w:val="21"/>
                <w:szCs w:val="21"/>
              </w:rPr>
              <w:t>人员配置</w:t>
            </w:r>
          </w:p>
        </w:tc>
        <w:tc>
          <w:tcPr>
            <w:tcW w:w="6479" w:type="dxa"/>
            <w:vAlign w:val="center"/>
          </w:tcPr>
          <w:p w14:paraId="03CA52D0">
            <w:pPr>
              <w:widowControl/>
              <w:spacing w:line="360" w:lineRule="auto"/>
              <w:rPr>
                <w:rFonts w:hint="eastAsia" w:ascii="宋体" w:hAnsi="宋体" w:eastAsia="宋体" w:cs="宋体"/>
                <w:sz w:val="21"/>
                <w:szCs w:val="21"/>
              </w:rPr>
            </w:pPr>
            <w:r>
              <w:rPr>
                <w:rFonts w:hint="eastAsia" w:ascii="宋体" w:hAnsi="宋体" w:eastAsia="宋体" w:cs="宋体"/>
                <w:sz w:val="21"/>
                <w:szCs w:val="21"/>
              </w:rPr>
              <w:t>拟投入人员具有有效期内的健康证书的，每提供一名得</w:t>
            </w:r>
            <w:r>
              <w:rPr>
                <w:rFonts w:hint="eastAsia" w:ascii="宋体" w:hAnsi="宋体" w:eastAsia="宋体" w:cs="宋体"/>
                <w:sz w:val="21"/>
                <w:szCs w:val="21"/>
                <w:lang w:val="en-US" w:eastAsia="zh-CN"/>
              </w:rPr>
              <w:t>1.5</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分。 </w:t>
            </w:r>
          </w:p>
          <w:p w14:paraId="2061C64E">
            <w:pPr>
              <w:widowControl/>
              <w:spacing w:line="360" w:lineRule="auto"/>
              <w:rPr>
                <w:rFonts w:hint="eastAsia" w:ascii="宋体" w:hAnsi="宋体" w:eastAsia="宋体" w:cs="宋体"/>
                <w:b/>
                <w:sz w:val="21"/>
                <w:szCs w:val="21"/>
              </w:rPr>
            </w:pPr>
            <w:r>
              <w:rPr>
                <w:rFonts w:hint="eastAsia" w:ascii="宋体" w:hAnsi="宋体" w:eastAsia="宋体" w:cs="宋体"/>
                <w:b/>
                <w:sz w:val="21"/>
                <w:szCs w:val="21"/>
              </w:rPr>
              <w:t>注：投标时须提供上述人员证件复印件并加盖公章，不提供不得分。</w:t>
            </w:r>
          </w:p>
        </w:tc>
        <w:tc>
          <w:tcPr>
            <w:tcW w:w="1253" w:type="dxa"/>
            <w:vAlign w:val="center"/>
          </w:tcPr>
          <w:p w14:paraId="2F17E772">
            <w:pPr>
              <w:spacing w:line="252"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4609078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498" w:type="dxa"/>
            <w:vAlign w:val="center"/>
          </w:tcPr>
          <w:p w14:paraId="4CD5DE45">
            <w:pPr>
              <w:snapToGrid w:val="0"/>
              <w:spacing w:line="252"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97" w:type="dxa"/>
            <w:vAlign w:val="center"/>
          </w:tcPr>
          <w:p w14:paraId="41D9D33E">
            <w:pPr>
              <w:spacing w:line="252" w:lineRule="auto"/>
              <w:jc w:val="center"/>
              <w:rPr>
                <w:rFonts w:hint="eastAsia" w:ascii="宋体" w:hAnsi="宋体" w:eastAsia="宋体" w:cs="宋体"/>
                <w:sz w:val="21"/>
                <w:szCs w:val="21"/>
              </w:rPr>
            </w:pPr>
            <w:r>
              <w:rPr>
                <w:rFonts w:hint="eastAsia" w:ascii="宋体" w:hAnsi="宋体" w:eastAsia="宋体" w:cs="宋体"/>
                <w:sz w:val="21"/>
                <w:szCs w:val="21"/>
              </w:rPr>
              <w:t>运输配送能力</w:t>
            </w:r>
          </w:p>
        </w:tc>
        <w:tc>
          <w:tcPr>
            <w:tcW w:w="6479" w:type="dxa"/>
            <w:vAlign w:val="center"/>
          </w:tcPr>
          <w:p w14:paraId="6765C1C8">
            <w:pPr>
              <w:spacing w:line="360" w:lineRule="auto"/>
              <w:rPr>
                <w:rFonts w:hint="eastAsia" w:ascii="宋体" w:hAnsi="宋体" w:eastAsia="宋体" w:cs="宋体"/>
                <w:sz w:val="21"/>
                <w:szCs w:val="21"/>
              </w:rPr>
            </w:pPr>
            <w:r>
              <w:rPr>
                <w:rFonts w:hint="eastAsia" w:ascii="宋体" w:hAnsi="宋体" w:eastAsia="宋体" w:cs="宋体"/>
                <w:sz w:val="21"/>
                <w:szCs w:val="21"/>
              </w:rPr>
              <w:t>根据投标人的配有专业配送车辆进行评价：投标人具备自有或租赁的配送车辆，每提供一台得</w:t>
            </w:r>
            <w:r>
              <w:rPr>
                <w:rFonts w:hint="eastAsia" w:ascii="宋体" w:hAnsi="宋体" w:eastAsia="宋体" w:cs="宋体"/>
                <w:sz w:val="21"/>
                <w:szCs w:val="21"/>
                <w:lang w:val="en-US" w:eastAsia="zh-CN"/>
              </w:rPr>
              <w:t>2.5</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分。 </w:t>
            </w:r>
          </w:p>
          <w:p w14:paraId="250215CB">
            <w:pPr>
              <w:spacing w:line="360" w:lineRule="auto"/>
              <w:rPr>
                <w:rFonts w:hint="eastAsia" w:ascii="宋体" w:hAnsi="宋体" w:eastAsia="宋体" w:cs="宋体"/>
                <w:b/>
                <w:sz w:val="21"/>
                <w:szCs w:val="21"/>
              </w:rPr>
            </w:pPr>
            <w:r>
              <w:rPr>
                <w:rFonts w:hint="eastAsia" w:ascii="宋体" w:hAnsi="宋体" w:eastAsia="宋体" w:cs="宋体"/>
                <w:b/>
                <w:sz w:val="21"/>
                <w:szCs w:val="21"/>
              </w:rPr>
              <w:t>注：投标时须提供以投标人名义购买或租赁的车辆的机动车行驶证复印件（如租赁的还需提供租赁合同复印件）加盖投标人公章,不提供不得分。</w:t>
            </w:r>
          </w:p>
        </w:tc>
        <w:tc>
          <w:tcPr>
            <w:tcW w:w="1253" w:type="dxa"/>
            <w:vAlign w:val="center"/>
          </w:tcPr>
          <w:p w14:paraId="3C0928D6">
            <w:pPr>
              <w:spacing w:line="252"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14:paraId="127A257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498" w:type="dxa"/>
            <w:vAlign w:val="center"/>
          </w:tcPr>
          <w:p w14:paraId="691B9499">
            <w:pPr>
              <w:snapToGrid w:val="0"/>
              <w:spacing w:line="252"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197" w:type="dxa"/>
            <w:vAlign w:val="center"/>
          </w:tcPr>
          <w:p w14:paraId="4292781F">
            <w:pPr>
              <w:spacing w:line="252" w:lineRule="auto"/>
              <w:jc w:val="center"/>
              <w:rPr>
                <w:rFonts w:hint="eastAsia" w:ascii="宋体" w:hAnsi="宋体" w:eastAsia="宋体" w:cs="宋体"/>
                <w:sz w:val="21"/>
                <w:szCs w:val="21"/>
              </w:rPr>
            </w:pPr>
            <w:r>
              <w:rPr>
                <w:rFonts w:hint="eastAsia" w:ascii="宋体" w:hAnsi="宋体" w:eastAsia="宋体" w:cs="宋体"/>
                <w:sz w:val="21"/>
                <w:szCs w:val="21"/>
              </w:rPr>
              <w:t>项目业绩</w:t>
            </w:r>
          </w:p>
        </w:tc>
        <w:tc>
          <w:tcPr>
            <w:tcW w:w="6479" w:type="dxa"/>
            <w:vAlign w:val="center"/>
          </w:tcPr>
          <w:p w14:paraId="5C8501E0">
            <w:pPr>
              <w:spacing w:line="360" w:lineRule="auto"/>
              <w:rPr>
                <w:rFonts w:hint="eastAsia" w:ascii="宋体" w:hAnsi="宋体" w:eastAsia="宋体" w:cs="宋体"/>
                <w:sz w:val="21"/>
                <w:szCs w:val="21"/>
              </w:rPr>
            </w:pPr>
            <w:r>
              <w:rPr>
                <w:rFonts w:hint="eastAsia" w:ascii="宋体" w:hAnsi="宋体" w:eastAsia="宋体" w:cs="宋体"/>
                <w:sz w:val="21"/>
                <w:szCs w:val="21"/>
              </w:rPr>
              <w:t>投标人自2022年01月至今（以合同签订时间为准）承接的类似项目业绩，每提供一项得</w:t>
            </w:r>
            <w:r>
              <w:rPr>
                <w:rFonts w:hint="eastAsia" w:ascii="宋体" w:hAnsi="宋体" w:eastAsia="宋体" w:cs="宋体"/>
                <w:sz w:val="21"/>
                <w:szCs w:val="21"/>
                <w:lang w:val="en-US" w:eastAsia="zh-CN"/>
              </w:rPr>
              <w:t>2</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77220EC9">
            <w:pPr>
              <w:spacing w:line="360" w:lineRule="auto"/>
              <w:ind w:left="-78" w:leftChars="-37" w:right="-73" w:rightChars="-35"/>
              <w:rPr>
                <w:rFonts w:hint="eastAsia" w:ascii="宋体" w:hAnsi="宋体" w:eastAsia="宋体" w:cs="宋体"/>
                <w:b/>
                <w:sz w:val="21"/>
                <w:szCs w:val="21"/>
              </w:rPr>
            </w:pPr>
            <w:r>
              <w:rPr>
                <w:rFonts w:hint="eastAsia" w:ascii="宋体" w:hAnsi="宋体" w:eastAsia="宋体" w:cs="宋体"/>
                <w:b/>
                <w:sz w:val="21"/>
                <w:szCs w:val="21"/>
              </w:rPr>
              <w:t>注：投标时须提供合同的复印件并加盖公章，不提供不得分。</w:t>
            </w:r>
          </w:p>
        </w:tc>
        <w:tc>
          <w:tcPr>
            <w:tcW w:w="1253" w:type="dxa"/>
            <w:vAlign w:val="center"/>
          </w:tcPr>
          <w:p w14:paraId="2FC58A00">
            <w:pPr>
              <w:spacing w:line="252"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7B22643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74" w:type="dxa"/>
            <w:gridSpan w:val="3"/>
            <w:vAlign w:val="center"/>
          </w:tcPr>
          <w:p w14:paraId="010C1349">
            <w:pPr>
              <w:snapToGrid w:val="0"/>
              <w:spacing w:line="252" w:lineRule="auto"/>
              <w:jc w:val="center"/>
              <w:rPr>
                <w:rFonts w:hint="eastAsia" w:ascii="宋体" w:hAnsi="宋体" w:eastAsia="宋体" w:cs="宋体"/>
                <w:sz w:val="21"/>
                <w:szCs w:val="21"/>
              </w:rPr>
            </w:pPr>
            <w:r>
              <w:rPr>
                <w:rFonts w:hint="eastAsia" w:ascii="宋体" w:hAnsi="宋体" w:eastAsia="宋体" w:cs="宋体"/>
                <w:sz w:val="21"/>
                <w:szCs w:val="21"/>
              </w:rPr>
              <w:t>合计</w:t>
            </w:r>
          </w:p>
        </w:tc>
        <w:tc>
          <w:tcPr>
            <w:tcW w:w="1253" w:type="dxa"/>
            <w:vAlign w:val="center"/>
          </w:tcPr>
          <w:p w14:paraId="28495324">
            <w:pPr>
              <w:snapToGrid w:val="0"/>
              <w:spacing w:line="252"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17</w:t>
            </w:r>
            <w:r>
              <w:rPr>
                <w:rFonts w:hint="eastAsia" w:ascii="宋体" w:hAnsi="宋体" w:eastAsia="宋体" w:cs="宋体"/>
                <w:color w:val="000000"/>
                <w:kern w:val="0"/>
                <w:sz w:val="21"/>
                <w:szCs w:val="21"/>
              </w:rPr>
              <w:t>分</w:t>
            </w:r>
          </w:p>
        </w:tc>
      </w:tr>
    </w:tbl>
    <w:p w14:paraId="54EC5658">
      <w:pPr>
        <w:spacing w:line="360" w:lineRule="auto"/>
        <w:rPr>
          <w:rFonts w:hint="eastAsia" w:ascii="宋体" w:hAnsi="宋体" w:eastAsia="宋体" w:cs="宋体"/>
          <w:sz w:val="21"/>
          <w:szCs w:val="21"/>
        </w:rPr>
      </w:pPr>
      <w:r>
        <w:rPr>
          <w:rFonts w:hint="eastAsia" w:ascii="宋体" w:hAnsi="宋体" w:eastAsia="宋体" w:cs="宋体"/>
          <w:sz w:val="21"/>
          <w:szCs w:val="21"/>
        </w:rPr>
        <w:t>备注：</w:t>
      </w:r>
    </w:p>
    <w:p w14:paraId="67806FC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竞争性磋商文件要求提交的与评价指标体系相关的各类有效资料，响应供应商如未按要求提交的，该项评分为零分。</w:t>
      </w:r>
    </w:p>
    <w:p w14:paraId="08C1CA7A">
      <w:pPr>
        <w:widowControl/>
        <w:spacing w:line="360" w:lineRule="auto"/>
        <w:ind w:firstLine="420" w:firstLineChars="200"/>
        <w:rPr>
          <w:rFonts w:hint="eastAsia" w:ascii="宋体" w:hAnsi="宋体" w:eastAsia="宋体" w:cs="宋体"/>
          <w:sz w:val="24"/>
          <w:szCs w:val="24"/>
        </w:rPr>
      </w:pPr>
      <w:r>
        <w:rPr>
          <w:rFonts w:hint="eastAsia" w:ascii="宋体" w:hAnsi="宋体" w:eastAsia="宋体" w:cs="宋体"/>
          <w:sz w:val="21"/>
          <w:szCs w:val="21"/>
        </w:rPr>
        <w:t>2. 商务评分：所有评委评分分值的算术平均值（四舍五入后，小数点后保留两位有效数）。</w:t>
      </w:r>
    </w:p>
    <w:p w14:paraId="56B1A365">
      <w:pPr>
        <w:widowControl/>
        <w:spacing w:line="360" w:lineRule="auto"/>
        <w:ind w:firstLine="480" w:firstLineChars="200"/>
        <w:rPr>
          <w:rFonts w:hint="eastAsia" w:ascii="宋体" w:hAnsi="宋体" w:eastAsia="宋体" w:cs="宋体"/>
          <w:sz w:val="24"/>
          <w:szCs w:val="24"/>
        </w:rPr>
      </w:pPr>
    </w:p>
    <w:p w14:paraId="4F8F3C45">
      <w:pPr>
        <w:widowControl/>
        <w:spacing w:line="360" w:lineRule="auto"/>
        <w:ind w:firstLine="480" w:firstLineChars="200"/>
        <w:rPr>
          <w:rFonts w:hint="eastAsia" w:ascii="宋体" w:hAnsi="宋体" w:eastAsia="宋体" w:cs="宋体"/>
          <w:sz w:val="24"/>
          <w:szCs w:val="24"/>
        </w:rPr>
      </w:pPr>
    </w:p>
    <w:p w14:paraId="3B81C216">
      <w:pPr>
        <w:widowControl/>
        <w:spacing w:line="360" w:lineRule="auto"/>
        <w:ind w:firstLine="480" w:firstLineChars="200"/>
        <w:rPr>
          <w:rFonts w:hint="eastAsia" w:ascii="宋体" w:hAnsi="宋体" w:eastAsia="宋体" w:cs="宋体"/>
          <w:sz w:val="24"/>
          <w:szCs w:val="24"/>
        </w:rPr>
      </w:pPr>
    </w:p>
    <w:p w14:paraId="623178F1">
      <w:pPr>
        <w:widowControl/>
        <w:spacing w:line="360" w:lineRule="auto"/>
        <w:ind w:firstLine="480" w:firstLineChars="200"/>
        <w:rPr>
          <w:rFonts w:hint="eastAsia" w:ascii="宋体" w:hAnsi="宋体" w:eastAsia="宋体" w:cs="宋体"/>
          <w:sz w:val="24"/>
          <w:szCs w:val="24"/>
        </w:rPr>
      </w:pPr>
    </w:p>
    <w:p w14:paraId="7D845329">
      <w:pPr>
        <w:widowControl/>
        <w:spacing w:line="360" w:lineRule="auto"/>
        <w:ind w:firstLine="480" w:firstLineChars="200"/>
        <w:rPr>
          <w:rFonts w:hint="eastAsia" w:ascii="宋体" w:hAnsi="宋体" w:eastAsia="宋体" w:cs="宋体"/>
          <w:sz w:val="24"/>
          <w:szCs w:val="24"/>
        </w:rPr>
      </w:pPr>
    </w:p>
    <w:p w14:paraId="7692BB30">
      <w:pPr>
        <w:widowControl/>
        <w:spacing w:line="360" w:lineRule="auto"/>
        <w:ind w:firstLine="480" w:firstLineChars="200"/>
        <w:rPr>
          <w:rFonts w:hint="eastAsia" w:ascii="宋体" w:hAnsi="宋体" w:eastAsia="宋体" w:cs="宋体"/>
          <w:sz w:val="24"/>
          <w:szCs w:val="24"/>
        </w:rPr>
      </w:pPr>
    </w:p>
    <w:p w14:paraId="64742C72">
      <w:pPr>
        <w:pStyle w:val="52"/>
        <w:ind w:left="0" w:leftChars="0" w:firstLine="0" w:firstLineChars="0"/>
        <w:rPr>
          <w:rFonts w:hint="eastAsia" w:ascii="宋体" w:hAnsi="宋体" w:eastAsia="宋体" w:cs="宋体"/>
          <w:sz w:val="24"/>
          <w:szCs w:val="24"/>
        </w:rPr>
      </w:pPr>
    </w:p>
    <w:p w14:paraId="03A47C3B">
      <w:pPr>
        <w:jc w:val="center"/>
        <w:rPr>
          <w:rFonts w:hint="eastAsia" w:ascii="宋体" w:hAnsi="宋体" w:eastAsia="宋体" w:cs="宋体"/>
          <w:b/>
          <w:sz w:val="28"/>
          <w:szCs w:val="28"/>
        </w:rPr>
      </w:pPr>
      <w:r>
        <w:rPr>
          <w:rFonts w:hint="eastAsia" w:ascii="宋体" w:hAnsi="宋体" w:eastAsia="宋体" w:cs="宋体"/>
          <w:b/>
          <w:sz w:val="28"/>
          <w:szCs w:val="28"/>
        </w:rPr>
        <w:t>三、价格部分（</w:t>
      </w:r>
      <w:r>
        <w:rPr>
          <w:rFonts w:hint="eastAsia" w:ascii="宋体" w:hAnsi="宋体" w:eastAsia="宋体" w:cs="宋体"/>
          <w:b/>
          <w:sz w:val="28"/>
          <w:szCs w:val="28"/>
          <w:lang w:val="en-US" w:eastAsia="zh-CN"/>
        </w:rPr>
        <w:t>51</w:t>
      </w:r>
      <w:r>
        <w:rPr>
          <w:rFonts w:hint="eastAsia" w:ascii="宋体" w:hAnsi="宋体" w:eastAsia="宋体" w:cs="宋体"/>
          <w:b/>
          <w:sz w:val="28"/>
          <w:szCs w:val="28"/>
        </w:rPr>
        <w:t>分）</w:t>
      </w:r>
    </w:p>
    <w:p w14:paraId="24C60952">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价格分采用低价优先法计算，即满足竞争性磋商文件要求且投标价格最低的投标报价为评标基准价，其价格分为满分。其他投标人的价格分统一按照下列公式计算：投标报价得分=(评标基准价／投标报价)×100×权重 </w:t>
      </w:r>
    </w:p>
    <w:p w14:paraId="6D67CCED">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备注： </w:t>
      </w:r>
    </w:p>
    <w:p w14:paraId="5BD54896">
      <w:pPr>
        <w:spacing w:line="360" w:lineRule="auto"/>
        <w:jc w:val="left"/>
        <w:rPr>
          <w:rFonts w:hint="eastAsia" w:ascii="宋体" w:hAnsi="宋体" w:eastAsia="宋体" w:cs="宋体"/>
          <w:sz w:val="22"/>
          <w:szCs w:val="22"/>
        </w:rPr>
      </w:pPr>
      <w:r>
        <w:rPr>
          <w:rFonts w:hint="eastAsia" w:ascii="宋体" w:hAnsi="宋体" w:eastAsia="宋体" w:cs="宋体"/>
          <w:sz w:val="22"/>
          <w:szCs w:val="22"/>
        </w:rPr>
        <w:t>1、投标报价得分四舍五入后，小数点后保留两位有效数。</w:t>
      </w:r>
    </w:p>
    <w:p w14:paraId="007B82CE">
      <w:pPr>
        <w:spacing w:line="360" w:lineRule="auto"/>
        <w:ind w:right="480"/>
        <w:jc w:val="both"/>
        <w:rPr>
          <w:rFonts w:ascii="宋体" w:hAnsi="宋体" w:eastAsia="宋体"/>
          <w:sz w:val="22"/>
          <w:szCs w:val="21"/>
        </w:rPr>
      </w:pPr>
      <w:r>
        <w:rPr>
          <w:rFonts w:hint="eastAsia" w:ascii="宋体" w:hAnsi="宋体" w:eastAsia="宋体" w:cs="宋体"/>
          <w:sz w:val="22"/>
          <w:szCs w:val="22"/>
        </w:rPr>
        <w:t>2、投标报价以“投标下浮率（%）”进行价格评分的计算。</w:t>
      </w:r>
    </w:p>
    <w:p w14:paraId="3284E647">
      <w:pPr>
        <w:spacing w:line="360" w:lineRule="auto"/>
        <w:ind w:right="480"/>
        <w:jc w:val="center"/>
        <w:rPr>
          <w:rFonts w:ascii="宋体" w:hAnsi="宋体" w:eastAsia="宋体"/>
          <w:sz w:val="24"/>
        </w:rPr>
      </w:pPr>
    </w:p>
    <w:p w14:paraId="694693E6">
      <w:pPr>
        <w:spacing w:line="360" w:lineRule="auto"/>
        <w:ind w:right="480"/>
        <w:jc w:val="center"/>
        <w:rPr>
          <w:rFonts w:ascii="宋体" w:hAnsi="宋体" w:eastAsia="宋体"/>
          <w:sz w:val="24"/>
        </w:rPr>
      </w:pPr>
    </w:p>
    <w:p w14:paraId="6467926C">
      <w:pPr>
        <w:spacing w:line="360" w:lineRule="auto"/>
        <w:ind w:right="480"/>
        <w:jc w:val="center"/>
        <w:rPr>
          <w:rFonts w:ascii="宋体" w:hAnsi="宋体" w:eastAsia="宋体"/>
          <w:sz w:val="24"/>
        </w:rPr>
      </w:pPr>
    </w:p>
    <w:p w14:paraId="1A9F26DC">
      <w:pPr>
        <w:spacing w:line="360" w:lineRule="auto"/>
        <w:ind w:right="480"/>
        <w:jc w:val="center"/>
        <w:rPr>
          <w:rFonts w:ascii="宋体" w:hAnsi="宋体" w:eastAsia="宋体"/>
          <w:sz w:val="24"/>
        </w:rPr>
      </w:pPr>
    </w:p>
    <w:p w14:paraId="4D773F4F">
      <w:pPr>
        <w:rPr>
          <w:rFonts w:ascii="宋体" w:hAnsi="宋体" w:eastAsia="宋体"/>
        </w:rPr>
      </w:pPr>
    </w:p>
    <w:p w14:paraId="18F4F36E">
      <w:pPr>
        <w:adjustRightInd w:val="0"/>
        <w:snapToGrid w:val="0"/>
        <w:rPr>
          <w:rFonts w:ascii="宋体" w:hAnsi="宋体" w:eastAsia="宋体"/>
        </w:rPr>
      </w:pPr>
    </w:p>
    <w:p w14:paraId="19DA5F3B">
      <w:pPr>
        <w:adjustRightInd w:val="0"/>
        <w:snapToGrid w:val="0"/>
        <w:rPr>
          <w:rFonts w:ascii="宋体" w:hAnsi="宋体" w:eastAsia="宋体"/>
        </w:rPr>
      </w:pPr>
    </w:p>
    <w:p w14:paraId="35E583D2">
      <w:pPr>
        <w:adjustRightInd w:val="0"/>
        <w:snapToGrid w:val="0"/>
        <w:rPr>
          <w:rFonts w:ascii="宋体" w:hAnsi="宋体" w:eastAsia="宋体"/>
        </w:rPr>
      </w:pPr>
    </w:p>
    <w:p w14:paraId="5DE3F1DD">
      <w:pPr>
        <w:adjustRightInd w:val="0"/>
        <w:snapToGrid w:val="0"/>
        <w:rPr>
          <w:rFonts w:ascii="宋体" w:hAnsi="宋体" w:eastAsia="宋体"/>
        </w:rPr>
      </w:pPr>
    </w:p>
    <w:p w14:paraId="69306BF7">
      <w:pPr>
        <w:adjustRightInd w:val="0"/>
        <w:snapToGrid w:val="0"/>
        <w:rPr>
          <w:rFonts w:ascii="宋体" w:hAnsi="宋体" w:eastAsia="宋体"/>
        </w:rPr>
      </w:pPr>
    </w:p>
    <w:p w14:paraId="17FE7404">
      <w:pPr>
        <w:adjustRightInd w:val="0"/>
        <w:snapToGrid w:val="0"/>
        <w:rPr>
          <w:rFonts w:ascii="宋体" w:hAnsi="宋体" w:eastAsia="宋体"/>
        </w:rPr>
      </w:pPr>
    </w:p>
    <w:p w14:paraId="16A24882">
      <w:pPr>
        <w:adjustRightInd w:val="0"/>
        <w:snapToGrid w:val="0"/>
        <w:rPr>
          <w:rFonts w:ascii="宋体" w:hAnsi="宋体" w:eastAsia="宋体"/>
        </w:rPr>
      </w:pPr>
    </w:p>
    <w:p w14:paraId="1B926556">
      <w:pPr>
        <w:adjustRightInd w:val="0"/>
        <w:snapToGrid w:val="0"/>
        <w:rPr>
          <w:rFonts w:ascii="宋体" w:hAnsi="宋体" w:eastAsia="宋体"/>
        </w:rPr>
      </w:pPr>
    </w:p>
    <w:p w14:paraId="7B19F67F">
      <w:pPr>
        <w:adjustRightInd w:val="0"/>
        <w:snapToGrid w:val="0"/>
        <w:rPr>
          <w:rFonts w:ascii="宋体" w:hAnsi="宋体" w:eastAsia="宋体"/>
        </w:rPr>
      </w:pPr>
    </w:p>
    <w:p w14:paraId="480C37D2">
      <w:pPr>
        <w:adjustRightInd w:val="0"/>
        <w:snapToGrid w:val="0"/>
        <w:rPr>
          <w:rFonts w:ascii="宋体" w:hAnsi="宋体" w:eastAsia="宋体"/>
        </w:rPr>
      </w:pPr>
    </w:p>
    <w:p w14:paraId="2E10A284">
      <w:pPr>
        <w:adjustRightInd w:val="0"/>
        <w:snapToGrid w:val="0"/>
        <w:rPr>
          <w:rFonts w:ascii="宋体" w:hAnsi="宋体" w:eastAsia="宋体"/>
        </w:rPr>
      </w:pPr>
    </w:p>
    <w:p w14:paraId="6B1DD23A">
      <w:pPr>
        <w:adjustRightInd w:val="0"/>
        <w:snapToGrid w:val="0"/>
        <w:rPr>
          <w:rFonts w:ascii="宋体" w:hAnsi="宋体" w:eastAsia="宋体"/>
        </w:rPr>
      </w:pPr>
    </w:p>
    <w:p w14:paraId="067B2412">
      <w:pPr>
        <w:adjustRightInd w:val="0"/>
        <w:snapToGrid w:val="0"/>
        <w:rPr>
          <w:rFonts w:ascii="宋体" w:hAnsi="宋体" w:eastAsia="宋体"/>
        </w:rPr>
      </w:pPr>
    </w:p>
    <w:p w14:paraId="1E3613BB">
      <w:pPr>
        <w:adjustRightInd w:val="0"/>
        <w:snapToGrid w:val="0"/>
        <w:rPr>
          <w:rFonts w:ascii="宋体" w:hAnsi="宋体" w:eastAsia="宋体"/>
        </w:rPr>
      </w:pPr>
    </w:p>
    <w:p w14:paraId="6CDE99B7">
      <w:pPr>
        <w:adjustRightInd w:val="0"/>
        <w:snapToGrid w:val="0"/>
        <w:rPr>
          <w:rFonts w:ascii="宋体" w:hAnsi="宋体" w:eastAsia="宋体"/>
        </w:rPr>
      </w:pPr>
    </w:p>
    <w:p w14:paraId="74358A7A">
      <w:pPr>
        <w:adjustRightInd w:val="0"/>
        <w:snapToGrid w:val="0"/>
        <w:rPr>
          <w:rFonts w:ascii="宋体" w:hAnsi="宋体" w:eastAsia="宋体"/>
        </w:rPr>
      </w:pPr>
    </w:p>
    <w:p w14:paraId="78BBCF6A">
      <w:pPr>
        <w:adjustRightInd w:val="0"/>
        <w:snapToGrid w:val="0"/>
        <w:rPr>
          <w:rFonts w:ascii="宋体" w:hAnsi="宋体" w:eastAsia="宋体"/>
        </w:rPr>
      </w:pPr>
    </w:p>
    <w:p w14:paraId="0C936180">
      <w:pPr>
        <w:adjustRightInd w:val="0"/>
        <w:snapToGrid w:val="0"/>
        <w:rPr>
          <w:rFonts w:ascii="宋体" w:hAnsi="宋体" w:eastAsia="宋体"/>
        </w:rPr>
      </w:pPr>
    </w:p>
    <w:p w14:paraId="2D5604D7">
      <w:pPr>
        <w:adjustRightInd w:val="0"/>
        <w:snapToGrid w:val="0"/>
        <w:rPr>
          <w:rFonts w:ascii="宋体" w:hAnsi="宋体" w:eastAsia="宋体"/>
        </w:rPr>
      </w:pPr>
    </w:p>
    <w:p w14:paraId="35531031">
      <w:pPr>
        <w:adjustRightInd w:val="0"/>
        <w:snapToGrid w:val="0"/>
        <w:rPr>
          <w:rFonts w:ascii="宋体" w:hAnsi="宋体" w:eastAsia="宋体"/>
        </w:rPr>
      </w:pPr>
    </w:p>
    <w:p w14:paraId="1EBFDDFB">
      <w:pPr>
        <w:adjustRightInd w:val="0"/>
        <w:snapToGrid w:val="0"/>
        <w:rPr>
          <w:rFonts w:ascii="宋体" w:hAnsi="宋体" w:eastAsia="宋体"/>
        </w:rPr>
      </w:pPr>
    </w:p>
    <w:p w14:paraId="4C200008">
      <w:pPr>
        <w:adjustRightInd w:val="0"/>
        <w:snapToGrid w:val="0"/>
        <w:rPr>
          <w:rFonts w:ascii="宋体" w:hAnsi="宋体" w:eastAsia="宋体"/>
        </w:rPr>
      </w:pPr>
    </w:p>
    <w:p w14:paraId="27721BA8">
      <w:pPr>
        <w:adjustRightInd w:val="0"/>
        <w:snapToGrid w:val="0"/>
        <w:rPr>
          <w:rFonts w:ascii="宋体" w:hAnsi="宋体" w:eastAsia="宋体"/>
        </w:rPr>
      </w:pPr>
    </w:p>
    <w:p w14:paraId="2BB44EB2">
      <w:pPr>
        <w:adjustRightInd w:val="0"/>
        <w:snapToGrid w:val="0"/>
        <w:rPr>
          <w:rFonts w:ascii="宋体" w:hAnsi="宋体" w:eastAsia="宋体"/>
        </w:rPr>
      </w:pPr>
    </w:p>
    <w:p w14:paraId="0C6FEF87">
      <w:pPr>
        <w:adjustRightInd w:val="0"/>
        <w:snapToGrid w:val="0"/>
        <w:rPr>
          <w:rFonts w:ascii="宋体" w:hAnsi="宋体" w:eastAsia="宋体"/>
        </w:rPr>
      </w:pPr>
    </w:p>
    <w:p w14:paraId="59F5BFAC">
      <w:pPr>
        <w:adjustRightInd w:val="0"/>
        <w:snapToGrid w:val="0"/>
        <w:rPr>
          <w:rFonts w:ascii="宋体" w:hAnsi="宋体" w:eastAsia="宋体"/>
        </w:rPr>
      </w:pPr>
    </w:p>
    <w:p w14:paraId="0772C0CE">
      <w:pPr>
        <w:adjustRightInd w:val="0"/>
        <w:snapToGrid w:val="0"/>
        <w:rPr>
          <w:rFonts w:ascii="宋体" w:hAnsi="宋体" w:eastAsia="宋体"/>
        </w:rPr>
      </w:pPr>
    </w:p>
    <w:p w14:paraId="39991EA0">
      <w:pPr>
        <w:adjustRightInd w:val="0"/>
        <w:snapToGrid w:val="0"/>
        <w:rPr>
          <w:rFonts w:ascii="宋体" w:hAnsi="宋体" w:eastAsia="宋体"/>
        </w:rPr>
      </w:pPr>
    </w:p>
    <w:p w14:paraId="0BB17405">
      <w:pPr>
        <w:adjustRightInd w:val="0"/>
        <w:snapToGrid w:val="0"/>
        <w:rPr>
          <w:rFonts w:ascii="宋体" w:hAnsi="宋体" w:eastAsia="宋体"/>
        </w:rPr>
      </w:pPr>
    </w:p>
    <w:p w14:paraId="69579F77">
      <w:pPr>
        <w:adjustRightInd w:val="0"/>
        <w:snapToGrid w:val="0"/>
        <w:rPr>
          <w:rFonts w:ascii="宋体" w:hAnsi="宋体" w:eastAsia="宋体"/>
        </w:rPr>
      </w:pPr>
    </w:p>
    <w:p w14:paraId="637F55AA">
      <w:pPr>
        <w:tabs>
          <w:tab w:val="left" w:pos="1843"/>
        </w:tabs>
        <w:ind w:left="420" w:hanging="420"/>
        <w:jc w:val="center"/>
        <w:outlineLvl w:val="0"/>
        <w:rPr>
          <w:rFonts w:ascii="宋体" w:hAnsi="宋体" w:eastAsia="宋体"/>
          <w:b/>
          <w:color w:val="000000" w:themeColor="text1"/>
          <w:sz w:val="50"/>
          <w:szCs w:val="50"/>
          <w14:textFill>
            <w14:solidFill>
              <w14:schemeClr w14:val="tx1"/>
            </w14:solidFill>
          </w14:textFill>
        </w:rPr>
      </w:pPr>
      <w:bookmarkStart w:id="3" w:name="_Toc457466636"/>
      <w:bookmarkStart w:id="4" w:name="_Toc495329763"/>
      <w:bookmarkStart w:id="5" w:name="_Toc28680"/>
      <w:bookmarkStart w:id="6" w:name="_Toc152927343"/>
      <w:r>
        <w:rPr>
          <w:rFonts w:hint="eastAsia" w:ascii="宋体" w:hAnsi="宋体" w:eastAsia="宋体"/>
          <w:b/>
          <w:bCs/>
          <w:color w:val="000000" w:themeColor="text1"/>
          <w:sz w:val="44"/>
          <w:szCs w:val="44"/>
          <w14:textFill>
            <w14:solidFill>
              <w14:schemeClr w14:val="tx1"/>
            </w14:solidFill>
          </w14:textFill>
        </w:rPr>
        <w:t xml:space="preserve">第五章  </w:t>
      </w:r>
      <w:r>
        <w:rPr>
          <w:rFonts w:hint="eastAsia" w:ascii="宋体" w:hAnsi="宋体" w:eastAsia="宋体"/>
          <w:b/>
          <w:color w:val="000000" w:themeColor="text1"/>
          <w:sz w:val="44"/>
          <w:szCs w:val="44"/>
          <w14:textFill>
            <w14:solidFill>
              <w14:schemeClr w14:val="tx1"/>
            </w14:solidFill>
          </w14:textFill>
        </w:rPr>
        <w:t>合同</w:t>
      </w:r>
      <w:bookmarkEnd w:id="3"/>
      <w:bookmarkEnd w:id="4"/>
      <w:r>
        <w:rPr>
          <w:rFonts w:hint="eastAsia" w:ascii="宋体" w:hAnsi="宋体" w:eastAsia="宋体"/>
          <w:b/>
          <w:color w:val="000000" w:themeColor="text1"/>
          <w:sz w:val="44"/>
          <w:szCs w:val="44"/>
          <w14:textFill>
            <w14:solidFill>
              <w14:schemeClr w14:val="tx1"/>
            </w14:solidFill>
          </w14:textFill>
        </w:rPr>
        <w:t>格式条款</w:t>
      </w:r>
      <w:bookmarkEnd w:id="5"/>
      <w:bookmarkEnd w:id="6"/>
    </w:p>
    <w:p w14:paraId="1EBEFDF8">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6E68B701">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61FE2EEB">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7E69231E">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74D808F2">
      <w:pPr>
        <w:tabs>
          <w:tab w:val="left" w:pos="1843"/>
        </w:tabs>
        <w:ind w:left="420" w:firstLine="2530" w:firstLineChars="350"/>
        <w:outlineLvl w:val="0"/>
        <w:rPr>
          <w:rFonts w:ascii="宋体" w:hAnsi="宋体" w:eastAsia="宋体"/>
          <w:b/>
          <w:color w:val="000000" w:themeColor="text1"/>
          <w:sz w:val="72"/>
          <w:szCs w:val="50"/>
          <w14:textFill>
            <w14:solidFill>
              <w14:schemeClr w14:val="tx1"/>
            </w14:solidFill>
          </w14:textFill>
        </w:rPr>
      </w:pPr>
      <w:bookmarkStart w:id="7" w:name="_Toc152927344"/>
    </w:p>
    <w:p w14:paraId="275A8AA7">
      <w:pPr>
        <w:tabs>
          <w:tab w:val="left" w:pos="1843"/>
        </w:tabs>
        <w:ind w:left="420" w:firstLine="2530" w:firstLineChars="350"/>
        <w:outlineLvl w:val="0"/>
        <w:rPr>
          <w:rFonts w:ascii="宋体" w:hAnsi="宋体" w:eastAsia="宋体"/>
          <w:b/>
          <w:color w:val="000000" w:themeColor="text1"/>
          <w:sz w:val="50"/>
          <w:szCs w:val="50"/>
          <w14:textFill>
            <w14:solidFill>
              <w14:schemeClr w14:val="tx1"/>
            </w14:solidFill>
          </w14:textFill>
        </w:rPr>
      </w:pPr>
      <w:r>
        <w:rPr>
          <w:rFonts w:hint="eastAsia" w:ascii="宋体" w:hAnsi="宋体" w:eastAsia="宋体"/>
          <w:b/>
          <w:color w:val="000000" w:themeColor="text1"/>
          <w:sz w:val="72"/>
          <w:szCs w:val="50"/>
          <w14:textFill>
            <w14:solidFill>
              <w14:schemeClr w14:val="tx1"/>
            </w14:solidFill>
          </w14:textFill>
        </w:rPr>
        <w:t>货物合同书</w:t>
      </w:r>
      <w:bookmarkEnd w:id="7"/>
    </w:p>
    <w:p w14:paraId="769556EF">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7227C093">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0DE6B8F0">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7983A8E5">
      <w:pPr>
        <w:tabs>
          <w:tab w:val="left" w:pos="1843"/>
        </w:tabs>
        <w:ind w:left="420"/>
        <w:outlineLvl w:val="0"/>
        <w:rPr>
          <w:rFonts w:ascii="宋体" w:hAnsi="宋体" w:eastAsia="宋体"/>
          <w:b/>
          <w:color w:val="000000" w:themeColor="text1"/>
          <w:sz w:val="50"/>
          <w:szCs w:val="50"/>
          <w14:textFill>
            <w14:solidFill>
              <w14:schemeClr w14:val="tx1"/>
            </w14:solidFill>
          </w14:textFill>
        </w:rPr>
      </w:pPr>
    </w:p>
    <w:p w14:paraId="0414B149">
      <w:pPr>
        <w:tabs>
          <w:tab w:val="left" w:pos="1843"/>
        </w:tabs>
        <w:ind w:left="420" w:firstLine="930" w:firstLineChars="300"/>
        <w:outlineLvl w:val="0"/>
        <w:rPr>
          <w:rFonts w:ascii="宋体" w:hAnsi="宋体" w:eastAsia="宋体"/>
          <w:b/>
          <w:color w:val="000000" w:themeColor="text1"/>
          <w:sz w:val="50"/>
          <w:szCs w:val="50"/>
          <w14:textFill>
            <w14:solidFill>
              <w14:schemeClr w14:val="tx1"/>
            </w14:solidFill>
          </w14:textFill>
        </w:rPr>
      </w:pPr>
      <w:bookmarkStart w:id="8" w:name="_Toc152927345"/>
      <w:r>
        <w:rPr>
          <w:rFonts w:hint="eastAsia" w:ascii="宋体" w:hAnsi="宋体" w:eastAsia="宋体"/>
          <w:color w:val="000000" w:themeColor="text1"/>
          <w:spacing w:val="-5"/>
          <w:sz w:val="32"/>
          <w:szCs w:val="32"/>
          <w14:textFill>
            <w14:solidFill>
              <w14:schemeClr w14:val="tx1"/>
            </w14:solidFill>
          </w14:textFill>
        </w:rPr>
        <w:t>合</w:t>
      </w:r>
      <w:r>
        <w:rPr>
          <w:rFonts w:hint="eastAsia" w:ascii="宋体" w:hAnsi="宋体" w:eastAsia="宋体"/>
          <w:color w:val="000000" w:themeColor="text1"/>
          <w:sz w:val="32"/>
          <w:szCs w:val="32"/>
          <w14:textFill>
            <w14:solidFill>
              <w14:schemeClr w14:val="tx1"/>
            </w14:solidFill>
          </w14:textFill>
        </w:rPr>
        <w:t>同编</w:t>
      </w:r>
      <w:r>
        <w:rPr>
          <w:rFonts w:hint="eastAsia" w:ascii="宋体" w:hAnsi="宋体" w:eastAsia="宋体"/>
          <w:color w:val="000000" w:themeColor="text1"/>
          <w:spacing w:val="-5"/>
          <w:sz w:val="32"/>
          <w:szCs w:val="32"/>
          <w14:textFill>
            <w14:solidFill>
              <w14:schemeClr w14:val="tx1"/>
            </w14:solidFill>
          </w14:textFill>
        </w:rPr>
        <w:t>号：</w:t>
      </w:r>
      <w:bookmarkEnd w:id="8"/>
      <w:r>
        <w:rPr>
          <w:rFonts w:ascii="宋体" w:hAnsi="宋体" w:eastAsia="宋体"/>
          <w:color w:val="000000" w:themeColor="text1"/>
          <w:w w:val="67"/>
          <w:sz w:val="32"/>
          <w:szCs w:val="32"/>
          <w:u w:val="single"/>
          <w14:textFill>
            <w14:solidFill>
              <w14:schemeClr w14:val="tx1"/>
            </w14:solidFill>
          </w14:textFill>
        </w:rPr>
        <w:t xml:space="preserve"> </w:t>
      </w:r>
      <w:r>
        <w:rPr>
          <w:rFonts w:ascii="宋体" w:hAnsi="宋体" w:eastAsia="宋体"/>
          <w:color w:val="000000" w:themeColor="text1"/>
          <w:sz w:val="32"/>
          <w:szCs w:val="32"/>
          <w:u w:val="single"/>
          <w14:textFill>
            <w14:solidFill>
              <w14:schemeClr w14:val="tx1"/>
            </w14:solidFill>
          </w14:textFill>
        </w:rPr>
        <w:tab/>
      </w:r>
      <w:r>
        <w:rPr>
          <w:rFonts w:ascii="宋体" w:hAnsi="宋体" w:eastAsia="宋体"/>
          <w:color w:val="000000" w:themeColor="text1"/>
          <w:sz w:val="32"/>
          <w:szCs w:val="32"/>
          <w:u w:val="single"/>
          <w14:textFill>
            <w14:solidFill>
              <w14:schemeClr w14:val="tx1"/>
            </w14:solidFill>
          </w14:textFill>
        </w:rPr>
        <w:tab/>
      </w:r>
      <w:r>
        <w:rPr>
          <w:rFonts w:hint="eastAsia" w:ascii="宋体" w:hAnsi="宋体" w:eastAsia="宋体"/>
          <w:color w:val="000000" w:themeColor="text1"/>
          <w:sz w:val="32"/>
          <w:szCs w:val="32"/>
          <w:u w:val="single"/>
          <w14:textFill>
            <w14:solidFill>
              <w14:schemeClr w14:val="tx1"/>
            </w14:solidFill>
          </w14:textFill>
        </w:rPr>
        <w:t xml:space="preserve">                    </w:t>
      </w:r>
    </w:p>
    <w:p w14:paraId="6C8170DB">
      <w:pPr>
        <w:tabs>
          <w:tab w:val="left" w:pos="6935"/>
          <w:tab w:val="left" w:pos="7595"/>
          <w:tab w:val="left" w:pos="7715"/>
        </w:tabs>
        <w:autoSpaceDE w:val="0"/>
        <w:autoSpaceDN w:val="0"/>
        <w:adjustRightInd w:val="0"/>
        <w:spacing w:line="273" w:lineRule="auto"/>
        <w:ind w:right="1687" w:firstLine="1395" w:firstLineChars="450"/>
        <w:rPr>
          <w:rFonts w:ascii="宋体" w:hAnsi="宋体" w:eastAsia="宋体"/>
          <w:color w:val="000000" w:themeColor="text1"/>
          <w:sz w:val="32"/>
          <w:szCs w:val="32"/>
          <w:u w:val="single"/>
          <w14:textFill>
            <w14:solidFill>
              <w14:schemeClr w14:val="tx1"/>
            </w14:solidFill>
          </w14:textFill>
        </w:rPr>
      </w:pPr>
      <w:r>
        <w:rPr>
          <w:rFonts w:hint="eastAsia" w:ascii="宋体" w:hAnsi="宋体" w:eastAsia="宋体"/>
          <w:color w:val="000000" w:themeColor="text1"/>
          <w:spacing w:val="-5"/>
          <w:sz w:val="32"/>
          <w:szCs w:val="32"/>
          <w14:textFill>
            <w14:solidFill>
              <w14:schemeClr w14:val="tx1"/>
            </w14:solidFill>
          </w14:textFill>
        </w:rPr>
        <w:t>项</w:t>
      </w:r>
      <w:r>
        <w:rPr>
          <w:rFonts w:hint="eastAsia" w:ascii="宋体" w:hAnsi="宋体" w:eastAsia="宋体"/>
          <w:color w:val="000000" w:themeColor="text1"/>
          <w:sz w:val="32"/>
          <w:szCs w:val="32"/>
          <w14:textFill>
            <w14:solidFill>
              <w14:schemeClr w14:val="tx1"/>
            </w14:solidFill>
          </w14:textFill>
        </w:rPr>
        <w:t>目名</w:t>
      </w:r>
      <w:r>
        <w:rPr>
          <w:rFonts w:hint="eastAsia" w:ascii="宋体" w:hAnsi="宋体" w:eastAsia="宋体"/>
          <w:color w:val="000000" w:themeColor="text1"/>
          <w:spacing w:val="-5"/>
          <w:sz w:val="32"/>
          <w:szCs w:val="32"/>
          <w14:textFill>
            <w14:solidFill>
              <w14:schemeClr w14:val="tx1"/>
            </w14:solidFill>
          </w14:textFill>
        </w:rPr>
        <w:t>称</w:t>
      </w:r>
      <w:r>
        <w:rPr>
          <w:rFonts w:hint="eastAsia" w:ascii="宋体" w:hAnsi="宋体" w:eastAsia="宋体"/>
          <w:color w:val="000000" w:themeColor="text1"/>
          <w:sz w:val="32"/>
          <w:szCs w:val="32"/>
          <w14:textFill>
            <w14:solidFill>
              <w14:schemeClr w14:val="tx1"/>
            </w14:solidFill>
          </w14:textFill>
        </w:rPr>
        <w:t>：</w:t>
      </w:r>
      <w:r>
        <w:rPr>
          <w:rFonts w:ascii="宋体" w:hAnsi="宋体" w:eastAsia="宋体"/>
          <w:color w:val="000000" w:themeColor="text1"/>
          <w:w w:val="67"/>
          <w:sz w:val="32"/>
          <w:szCs w:val="32"/>
          <w:u w:val="single"/>
          <w14:textFill>
            <w14:solidFill>
              <w14:schemeClr w14:val="tx1"/>
            </w14:solidFill>
          </w14:textFill>
        </w:rPr>
        <w:t xml:space="preserve"> </w:t>
      </w:r>
      <w:r>
        <w:rPr>
          <w:rFonts w:ascii="宋体" w:hAnsi="宋体" w:eastAsia="宋体"/>
          <w:color w:val="000000" w:themeColor="text1"/>
          <w:sz w:val="32"/>
          <w:szCs w:val="32"/>
          <w:u w:val="single"/>
          <w14:textFill>
            <w14:solidFill>
              <w14:schemeClr w14:val="tx1"/>
            </w14:solidFill>
          </w14:textFill>
        </w:rPr>
        <w:tab/>
      </w:r>
    </w:p>
    <w:p w14:paraId="6994D6B6">
      <w:pPr>
        <w:tabs>
          <w:tab w:val="left" w:pos="3780"/>
          <w:tab w:val="left" w:pos="6995"/>
          <w:tab w:val="left" w:pos="7560"/>
          <w:tab w:val="left" w:pos="7620"/>
        </w:tabs>
        <w:autoSpaceDE w:val="0"/>
        <w:autoSpaceDN w:val="0"/>
        <w:adjustRightInd w:val="0"/>
        <w:spacing w:line="273" w:lineRule="auto"/>
        <w:ind w:right="1687" w:firstLine="1440" w:firstLineChars="45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甲    方：</w:t>
      </w:r>
      <w:r>
        <w:rPr>
          <w:rFonts w:hint="eastAsia" w:ascii="宋体" w:hAnsi="宋体" w:eastAsia="宋体"/>
          <w:color w:val="000000" w:themeColor="text1"/>
          <w:sz w:val="32"/>
          <w:szCs w:val="32"/>
          <w:u w:val="single"/>
          <w14:textFill>
            <w14:solidFill>
              <w14:schemeClr w14:val="tx1"/>
            </w14:solidFill>
          </w14:textFill>
        </w:rPr>
        <w:t xml:space="preserve">                        </w:t>
      </w:r>
    </w:p>
    <w:p w14:paraId="3BEC0175">
      <w:pPr>
        <w:tabs>
          <w:tab w:val="left" w:pos="3780"/>
          <w:tab w:val="left" w:pos="4740"/>
          <w:tab w:val="left" w:pos="7560"/>
          <w:tab w:val="left" w:pos="7620"/>
        </w:tabs>
        <w:autoSpaceDE w:val="0"/>
        <w:autoSpaceDN w:val="0"/>
        <w:adjustRightInd w:val="0"/>
        <w:spacing w:line="273" w:lineRule="auto"/>
        <w:ind w:right="1687" w:firstLine="1440" w:firstLineChars="450"/>
        <w:rPr>
          <w:rFonts w:ascii="宋体" w:hAnsi="宋体" w:eastAsia="宋体"/>
          <w:color w:val="000000" w:themeColor="text1"/>
          <w:sz w:val="32"/>
          <w:szCs w:val="32"/>
          <w:u w:val="single"/>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乙    方：</w:t>
      </w:r>
      <w:r>
        <w:rPr>
          <w:rFonts w:hint="eastAsia" w:ascii="宋体" w:hAnsi="宋体" w:eastAsia="宋体"/>
          <w:color w:val="000000" w:themeColor="text1"/>
          <w:sz w:val="32"/>
          <w:szCs w:val="32"/>
          <w:u w:val="single"/>
          <w14:textFill>
            <w14:solidFill>
              <w14:schemeClr w14:val="tx1"/>
            </w14:solidFill>
          </w14:textFill>
        </w:rPr>
        <w:t xml:space="preserve">                        </w:t>
      </w:r>
    </w:p>
    <w:p w14:paraId="442A1B37">
      <w:pPr>
        <w:tabs>
          <w:tab w:val="left" w:pos="1843"/>
        </w:tabs>
        <w:ind w:left="420"/>
        <w:jc w:val="center"/>
        <w:outlineLvl w:val="0"/>
        <w:rPr>
          <w:rFonts w:ascii="宋体" w:hAnsi="宋体" w:eastAsia="宋体"/>
          <w:color w:val="000000" w:themeColor="text1"/>
          <w:spacing w:val="-5"/>
          <w:sz w:val="32"/>
          <w:szCs w:val="32"/>
          <w:u w:val="single"/>
          <w14:textFill>
            <w14:solidFill>
              <w14:schemeClr w14:val="tx1"/>
            </w14:solidFill>
          </w14:textFill>
        </w:rPr>
      </w:pPr>
    </w:p>
    <w:p w14:paraId="0355DF6A">
      <w:pPr>
        <w:tabs>
          <w:tab w:val="left" w:pos="1843"/>
        </w:tabs>
        <w:ind w:left="420"/>
        <w:jc w:val="center"/>
        <w:outlineLvl w:val="0"/>
        <w:rPr>
          <w:rFonts w:ascii="宋体" w:hAnsi="宋体" w:eastAsia="宋体"/>
          <w:b/>
          <w:color w:val="000000" w:themeColor="text1"/>
          <w:sz w:val="50"/>
          <w:szCs w:val="50"/>
          <w14:textFill>
            <w14:solidFill>
              <w14:schemeClr w14:val="tx1"/>
            </w14:solidFill>
          </w14:textFill>
        </w:rPr>
      </w:pPr>
      <w:r>
        <w:rPr>
          <w:rFonts w:hint="eastAsia" w:ascii="宋体" w:hAnsi="宋体" w:eastAsia="宋体"/>
          <w:color w:val="000000" w:themeColor="text1"/>
          <w:spacing w:val="-5"/>
          <w:sz w:val="32"/>
          <w:szCs w:val="32"/>
          <w:u w:val="single"/>
          <w14:textFill>
            <w14:solidFill>
              <w14:schemeClr w14:val="tx1"/>
            </w14:solidFill>
          </w14:textFill>
        </w:rPr>
        <w:t xml:space="preserve">      </w:t>
      </w:r>
      <w:bookmarkStart w:id="9" w:name="_Toc152927346"/>
      <w:r>
        <w:rPr>
          <w:rFonts w:hint="eastAsia" w:ascii="宋体" w:hAnsi="宋体" w:eastAsia="宋体"/>
          <w:color w:val="000000" w:themeColor="text1"/>
          <w:spacing w:val="-5"/>
          <w:sz w:val="32"/>
          <w:szCs w:val="32"/>
          <w14:textFill>
            <w14:solidFill>
              <w14:schemeClr w14:val="tx1"/>
            </w14:solidFill>
          </w14:textFill>
        </w:rPr>
        <w:t>年</w:t>
      </w:r>
      <w:r>
        <w:rPr>
          <w:rFonts w:hint="eastAsia" w:ascii="宋体" w:hAnsi="宋体" w:eastAsia="宋体"/>
          <w:color w:val="000000" w:themeColor="text1"/>
          <w:spacing w:val="-5"/>
          <w:sz w:val="32"/>
          <w:szCs w:val="32"/>
          <w:u w:val="single"/>
          <w14:textFill>
            <w14:solidFill>
              <w14:schemeClr w14:val="tx1"/>
            </w14:solidFill>
          </w14:textFill>
        </w:rPr>
        <w:t xml:space="preserve">     </w:t>
      </w:r>
      <w:r>
        <w:rPr>
          <w:rFonts w:hint="eastAsia" w:ascii="宋体" w:hAnsi="宋体" w:eastAsia="宋体"/>
          <w:color w:val="000000" w:themeColor="text1"/>
          <w:spacing w:val="-5"/>
          <w:sz w:val="32"/>
          <w:szCs w:val="32"/>
          <w14:textFill>
            <w14:solidFill>
              <w14:schemeClr w14:val="tx1"/>
            </w14:solidFill>
          </w14:textFill>
        </w:rPr>
        <w:t>月</w:t>
      </w:r>
      <w:r>
        <w:rPr>
          <w:rFonts w:hint="eastAsia" w:ascii="宋体" w:hAnsi="宋体" w:eastAsia="宋体"/>
          <w:color w:val="000000" w:themeColor="text1"/>
          <w:spacing w:val="-5"/>
          <w:sz w:val="32"/>
          <w:szCs w:val="32"/>
          <w:u w:val="single"/>
          <w14:textFill>
            <w14:solidFill>
              <w14:schemeClr w14:val="tx1"/>
            </w14:solidFill>
          </w14:textFill>
        </w:rPr>
        <w:t xml:space="preserve">      </w:t>
      </w:r>
      <w:r>
        <w:rPr>
          <w:rFonts w:hint="eastAsia" w:ascii="宋体" w:hAnsi="宋体" w:eastAsia="宋体"/>
          <w:color w:val="000000" w:themeColor="text1"/>
          <w:spacing w:val="-5"/>
          <w:sz w:val="32"/>
          <w:szCs w:val="32"/>
          <w14:textFill>
            <w14:solidFill>
              <w14:schemeClr w14:val="tx1"/>
            </w14:solidFill>
          </w14:textFill>
        </w:rPr>
        <w:t>日</w:t>
      </w:r>
      <w:bookmarkEnd w:id="9"/>
    </w:p>
    <w:p w14:paraId="59346E0D">
      <w:pPr>
        <w:tabs>
          <w:tab w:val="left" w:pos="1843"/>
        </w:tabs>
        <w:outlineLvl w:val="0"/>
        <w:rPr>
          <w:rFonts w:ascii="宋体" w:hAnsi="宋体" w:eastAsia="宋体"/>
          <w:b/>
          <w:color w:val="000000" w:themeColor="text1"/>
          <w:sz w:val="52"/>
          <w:szCs w:val="50"/>
          <w14:textFill>
            <w14:solidFill>
              <w14:schemeClr w14:val="tx1"/>
            </w14:solidFill>
          </w14:textFill>
        </w:rPr>
      </w:pPr>
      <w:bookmarkStart w:id="10" w:name="_Toc152927347"/>
      <w:r>
        <w:rPr>
          <w:rFonts w:hint="eastAsia" w:ascii="宋体" w:hAnsi="宋体" w:eastAsia="宋体"/>
          <w:b/>
          <w:color w:val="000000" w:themeColor="text1"/>
          <w:sz w:val="22"/>
          <w:szCs w:val="21"/>
          <w14:textFill>
            <w14:solidFill>
              <w14:schemeClr w14:val="tx1"/>
            </w14:solidFill>
          </w14:textFill>
        </w:rPr>
        <w:t>说明：本合同条款仅供参考，具体内容由甲乙双方协商确定。</w:t>
      </w:r>
      <w:bookmarkEnd w:id="10"/>
    </w:p>
    <w:p w14:paraId="633E0D63">
      <w:pPr>
        <w:tabs>
          <w:tab w:val="left" w:pos="720"/>
        </w:tabs>
        <w:spacing w:line="360" w:lineRule="auto"/>
        <w:ind w:right="315" w:rightChars="150"/>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甲    方</w:t>
      </w:r>
      <w:r>
        <w:rPr>
          <w:rFonts w:hint="eastAsia" w:ascii="宋体" w:hAnsi="宋体" w:eastAsia="宋体" w:cs="宋体"/>
          <w:color w:val="000000" w:themeColor="text1"/>
          <w:szCs w:val="21"/>
          <w14:textFill>
            <w14:solidFill>
              <w14:schemeClr w14:val="tx1"/>
            </w14:solidFill>
          </w14:textFill>
        </w:rPr>
        <w:t>（采购人）</w:t>
      </w:r>
      <w:r>
        <w:rPr>
          <w:rFonts w:hint="eastAsia" w:ascii="宋体" w:hAnsi="宋体" w:eastAsia="宋体"/>
          <w:b/>
          <w:color w:val="000000" w:themeColor="text1"/>
          <w:szCs w:val="21"/>
          <w14:textFill>
            <w14:solidFill>
              <w14:schemeClr w14:val="tx1"/>
            </w14:solidFill>
          </w14:textFill>
        </w:rPr>
        <w:t>：</w:t>
      </w:r>
      <w:r>
        <w:rPr>
          <w:rFonts w:hint="eastAsia" w:ascii="宋体" w:hAnsi="宋体" w:eastAsia="宋体"/>
          <w:lang w:eastAsia="zh-CN"/>
        </w:rPr>
        <w:t>郁南县桂圩镇初级中学</w:t>
      </w:r>
    </w:p>
    <w:p w14:paraId="6E004DDD">
      <w:pPr>
        <w:spacing w:line="360" w:lineRule="auto"/>
        <w:ind w:right="315" w:right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    话：           　   传  真：           地  址：</w:t>
      </w:r>
    </w:p>
    <w:p w14:paraId="358ABEB2">
      <w:pPr>
        <w:spacing w:line="360" w:lineRule="auto"/>
        <w:ind w:right="315" w:rightChars="15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乙    方</w:t>
      </w:r>
      <w:r>
        <w:rPr>
          <w:rFonts w:hint="eastAsia" w:ascii="宋体" w:hAnsi="宋体" w:eastAsia="宋体" w:cs="宋体"/>
          <w:color w:val="000000" w:themeColor="text1"/>
          <w:szCs w:val="21"/>
          <w14:textFill>
            <w14:solidFill>
              <w14:schemeClr w14:val="tx1"/>
            </w14:solidFill>
          </w14:textFill>
        </w:rPr>
        <w:t>（中标人）</w:t>
      </w:r>
      <w:r>
        <w:rPr>
          <w:rFonts w:hint="eastAsia" w:ascii="宋体" w:hAnsi="宋体" w:eastAsia="宋体"/>
          <w:b/>
          <w:color w:val="000000" w:themeColor="text1"/>
          <w:szCs w:val="21"/>
          <w14:textFill>
            <w14:solidFill>
              <w14:schemeClr w14:val="tx1"/>
            </w14:solidFill>
          </w14:textFill>
        </w:rPr>
        <w:t>：</w:t>
      </w:r>
    </w:p>
    <w:p w14:paraId="0EE49225">
      <w:pPr>
        <w:spacing w:line="360" w:lineRule="auto"/>
        <w:ind w:right="315" w:right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电    话：                传  真：           地  址：   </w:t>
      </w:r>
    </w:p>
    <w:p w14:paraId="0913C724">
      <w:pPr>
        <w:spacing w:line="360" w:lineRule="auto"/>
        <w:ind w:right="315" w:rightChars="150" w:firstLine="525" w:firstLineChars="2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w:t>
      </w:r>
      <w:r>
        <w:rPr>
          <w:rFonts w:hint="eastAsia" w:ascii="宋体" w:hAnsi="宋体" w:eastAsia="宋体"/>
          <w:color w:val="000000" w:themeColor="text1"/>
          <w:u w:val="single"/>
          <w:lang w:eastAsia="zh-CN"/>
          <w14:textFill>
            <w14:solidFill>
              <w14:schemeClr w14:val="tx1"/>
            </w14:solidFill>
          </w14:textFill>
        </w:rPr>
        <w:t>郁南县桂圩镇初级中学2025-2026学年食堂食品采购项目</w:t>
      </w: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olor w:val="000000" w:themeColor="text1"/>
          <w:lang w:eastAsia="zh-CN"/>
          <w14:textFill>
            <w14:solidFill>
              <w14:schemeClr w14:val="tx1"/>
            </w14:solidFill>
          </w14:textFill>
        </w:rPr>
        <w:t>GDCF-YN-CG-20250802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的采购结果，按照《中华人民共和国政府采购法》</w:t>
      </w:r>
      <w:r>
        <w:rPr>
          <w:rFonts w:hint="eastAsia" w:ascii="宋体" w:hAnsi="宋体" w:eastAsia="宋体" w:cs="宋体"/>
          <w:color w:val="000000" w:themeColor="text1"/>
          <w:szCs w:val="21"/>
          <w14:textFill>
            <w14:solidFill>
              <w14:schemeClr w14:val="tx1"/>
            </w14:solidFill>
          </w14:textFill>
        </w:rPr>
        <w:t>及其实施条例</w:t>
      </w:r>
      <w:r>
        <w:rPr>
          <w:rFonts w:hint="eastAsia" w:ascii="宋体" w:hAnsi="宋体" w:eastAsia="宋体"/>
          <w:color w:val="000000" w:themeColor="text1"/>
          <w:szCs w:val="21"/>
          <w14:textFill>
            <w14:solidFill>
              <w14:schemeClr w14:val="tx1"/>
            </w14:solidFill>
          </w14:textFill>
        </w:rPr>
        <w:t>、《中华人民共和国民法典》的规定，</w:t>
      </w:r>
      <w:r>
        <w:rPr>
          <w:rFonts w:hint="eastAsia" w:ascii="宋体" w:hAnsi="宋体" w:eastAsia="宋体"/>
          <w:color w:val="000000" w:themeColor="text1"/>
          <w:kern w:val="28"/>
          <w:szCs w:val="21"/>
          <w14:textFill>
            <w14:solidFill>
              <w14:schemeClr w14:val="tx1"/>
            </w14:solidFill>
          </w14:textFill>
        </w:rPr>
        <w:t>经双方协商，</w:t>
      </w:r>
      <w:r>
        <w:rPr>
          <w:rFonts w:hint="eastAsia" w:ascii="宋体" w:hAnsi="宋体" w:eastAsia="宋体"/>
          <w:color w:val="000000" w:themeColor="text1"/>
          <w:szCs w:val="21"/>
          <w14:textFill>
            <w14:solidFill>
              <w14:schemeClr w14:val="tx1"/>
            </w14:solidFill>
          </w14:textFill>
        </w:rPr>
        <w:t>本着平等互利和诚实信用的原则，</w:t>
      </w:r>
      <w:r>
        <w:rPr>
          <w:rFonts w:hint="eastAsia" w:ascii="宋体" w:hAnsi="宋体" w:eastAsia="宋体"/>
          <w:color w:val="000000" w:themeColor="text1"/>
          <w:kern w:val="28"/>
          <w:szCs w:val="21"/>
          <w14:textFill>
            <w14:solidFill>
              <w14:schemeClr w14:val="tx1"/>
            </w14:solidFill>
          </w14:textFill>
        </w:rPr>
        <w:t>一致同意签订本合同如下</w:t>
      </w:r>
      <w:r>
        <w:rPr>
          <w:rFonts w:hint="eastAsia" w:ascii="宋体" w:hAnsi="宋体" w:eastAsia="宋体"/>
          <w:color w:val="000000" w:themeColor="text1"/>
          <w:szCs w:val="21"/>
          <w14:textFill>
            <w14:solidFill>
              <w14:schemeClr w14:val="tx1"/>
            </w14:solidFill>
          </w14:textFill>
        </w:rPr>
        <w:t>。</w:t>
      </w:r>
    </w:p>
    <w:p w14:paraId="6B4368CB">
      <w:pPr>
        <w:tabs>
          <w:tab w:val="left" w:pos="284"/>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一、采购内容</w:t>
      </w:r>
    </w:p>
    <w:tbl>
      <w:tblPr>
        <w:tblStyle w:val="4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308"/>
        <w:gridCol w:w="1125"/>
        <w:gridCol w:w="1635"/>
        <w:gridCol w:w="2238"/>
      </w:tblGrid>
      <w:tr w14:paraId="5D7B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71" w:type="dxa"/>
            <w:vAlign w:val="center"/>
          </w:tcPr>
          <w:p w14:paraId="7206D4E5">
            <w:pPr>
              <w:keepNext w:val="0"/>
              <w:keepLines w:val="0"/>
              <w:pageBreakBefore w:val="0"/>
              <w:widowControl w:val="0"/>
              <w:kinsoku/>
              <w:wordWrap/>
              <w:overflowPunct/>
              <w:topLinePunct w:val="0"/>
              <w:autoSpaceDE/>
              <w:autoSpaceDN/>
              <w:bidi w:val="0"/>
              <w:adjustRightInd/>
              <w:ind w:left="210" w:leftChars="0"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3308" w:type="dxa"/>
            <w:vAlign w:val="center"/>
          </w:tcPr>
          <w:p w14:paraId="4574ED94">
            <w:pPr>
              <w:keepNext w:val="0"/>
              <w:keepLines w:val="0"/>
              <w:pageBreakBefore w:val="0"/>
              <w:widowControl w:val="0"/>
              <w:kinsoku/>
              <w:wordWrap/>
              <w:overflowPunct/>
              <w:topLinePunct w:val="0"/>
              <w:autoSpaceDE/>
              <w:autoSpaceDN/>
              <w:bidi w:val="0"/>
              <w:adjustRightInd/>
              <w:ind w:left="361"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供应货物</w:t>
            </w:r>
          </w:p>
        </w:tc>
        <w:tc>
          <w:tcPr>
            <w:tcW w:w="1125" w:type="dxa"/>
            <w:vAlign w:val="center"/>
          </w:tcPr>
          <w:p w14:paraId="6CC95BDC">
            <w:pPr>
              <w:keepNext w:val="0"/>
              <w:keepLines w:val="0"/>
              <w:pageBreakBefore w:val="0"/>
              <w:widowControl w:val="0"/>
              <w:kinsoku/>
              <w:wordWrap/>
              <w:overflowPunct/>
              <w:topLinePunct w:val="0"/>
              <w:autoSpaceDE/>
              <w:autoSpaceDN/>
              <w:bidi w:val="0"/>
              <w:adjustRightInd/>
              <w:ind w:left="210" w:leftChars="0"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数量（项）</w:t>
            </w:r>
          </w:p>
        </w:tc>
        <w:tc>
          <w:tcPr>
            <w:tcW w:w="1635" w:type="dxa"/>
            <w:vAlign w:val="center"/>
          </w:tcPr>
          <w:p w14:paraId="60B1903E">
            <w:pPr>
              <w:keepNext w:val="0"/>
              <w:keepLines w:val="0"/>
              <w:pageBreakBefore w:val="0"/>
              <w:widowControl w:val="0"/>
              <w:kinsoku/>
              <w:wordWrap/>
              <w:overflowPunct/>
              <w:topLinePunct w:val="0"/>
              <w:autoSpaceDE/>
              <w:autoSpaceDN/>
              <w:bidi w:val="0"/>
              <w:adjustRightInd/>
              <w:ind w:left="210" w:leftChars="0"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p>
        </w:tc>
        <w:tc>
          <w:tcPr>
            <w:tcW w:w="2238" w:type="dxa"/>
            <w:vAlign w:val="center"/>
          </w:tcPr>
          <w:p w14:paraId="7F1E8F61">
            <w:pPr>
              <w:keepNext w:val="0"/>
              <w:keepLines w:val="0"/>
              <w:pageBreakBefore w:val="0"/>
              <w:widowControl w:val="0"/>
              <w:kinsoku/>
              <w:wordWrap/>
              <w:overflowPunct/>
              <w:topLinePunct w:val="0"/>
              <w:autoSpaceDE/>
              <w:autoSpaceDN/>
              <w:bidi w:val="0"/>
              <w:adjustRightInd/>
              <w:ind w:left="210" w:leftChars="0"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服务年限</w:t>
            </w:r>
          </w:p>
        </w:tc>
      </w:tr>
      <w:tr w14:paraId="0FFB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971" w:type="dxa"/>
            <w:vAlign w:val="center"/>
          </w:tcPr>
          <w:p w14:paraId="6CA04421">
            <w:pPr>
              <w:keepNext w:val="0"/>
              <w:keepLines w:val="0"/>
              <w:pageBreakBefore w:val="0"/>
              <w:widowControl w:val="0"/>
              <w:kinsoku/>
              <w:wordWrap/>
              <w:overflowPunct/>
              <w:topLinePunct w:val="0"/>
              <w:autoSpaceDE/>
              <w:autoSpaceDN/>
              <w:bidi w:val="0"/>
              <w:adjustRightInd/>
              <w:ind w:left="210" w:leftChars="0"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08" w:type="dxa"/>
            <w:shd w:val="clear" w:color="auto" w:fill="auto"/>
            <w:vAlign w:val="center"/>
          </w:tcPr>
          <w:p w14:paraId="4C0D1D43">
            <w:pPr>
              <w:keepNext w:val="0"/>
              <w:keepLines w:val="0"/>
              <w:pageBreakBefore w:val="0"/>
              <w:widowControl w:val="0"/>
              <w:kinsoku/>
              <w:wordWrap/>
              <w:overflowPunct/>
              <w:topLinePunct w:val="0"/>
              <w:autoSpaceDE/>
              <w:autoSpaceDN/>
              <w:bidi w:val="0"/>
              <w:adjustRightInd/>
              <w:ind w:left="210" w:leftChars="0" w:hanging="210" w:hangingChars="100"/>
              <w:jc w:val="left"/>
              <w:textAlignment w:val="auto"/>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肉类（猪肉、鸡肉、鸭肉、鱼肉、</w:t>
            </w:r>
          </w:p>
          <w:p w14:paraId="22DCE30C">
            <w:pPr>
              <w:keepNext w:val="0"/>
              <w:keepLines w:val="0"/>
              <w:pageBreakBefore w:val="0"/>
              <w:widowControl w:val="0"/>
              <w:kinsoku/>
              <w:wordWrap/>
              <w:overflowPunct/>
              <w:topLinePunct w:val="0"/>
              <w:autoSpaceDE/>
              <w:autoSpaceDN/>
              <w:bidi w:val="0"/>
              <w:adjustRightInd/>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冰鲜、牛肉等）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、瓜菜类、包点、</w:t>
            </w:r>
          </w:p>
          <w:p w14:paraId="135BF42D">
            <w:pPr>
              <w:keepNext w:val="0"/>
              <w:keepLines w:val="0"/>
              <w:pageBreakBefore w:val="0"/>
              <w:widowControl w:val="0"/>
              <w:kinsoku/>
              <w:wordWrap/>
              <w:overflowPunct/>
              <w:topLinePunct w:val="0"/>
              <w:autoSpaceDE/>
              <w:autoSpaceDN/>
              <w:bidi w:val="0"/>
              <w:adjustRightInd/>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粉类、豆腐、瓜、叶菜、面包、糕</w:t>
            </w:r>
          </w:p>
          <w:p w14:paraId="5FF39683">
            <w:pPr>
              <w:keepNext w:val="0"/>
              <w:keepLines w:val="0"/>
              <w:pageBreakBefore w:val="0"/>
              <w:widowControl w:val="0"/>
              <w:kinsoku/>
              <w:wordWrap/>
              <w:overflowPunct/>
              <w:topLinePunct w:val="0"/>
              <w:autoSpaceDE/>
              <w:autoSpaceDN/>
              <w:bidi w:val="0"/>
              <w:adjustRightInd/>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点、河粉等）粮、油、干货、调味</w:t>
            </w:r>
          </w:p>
          <w:p w14:paraId="1B5B2485">
            <w:pPr>
              <w:keepNext w:val="0"/>
              <w:keepLines w:val="0"/>
              <w:pageBreakBefore w:val="0"/>
              <w:widowControl w:val="0"/>
              <w:kinsoku/>
              <w:wordWrap/>
              <w:overflowPunct/>
              <w:topLinePunct w:val="0"/>
              <w:autoSpaceDE/>
              <w:autoSpaceDN/>
              <w:bidi w:val="0"/>
              <w:adjustRightInd/>
              <w:ind w:left="210" w:leftChars="0" w:hanging="210" w:hangingChars="10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类（大米、米粉、鸡蛋、配菜、油、</w:t>
            </w:r>
          </w:p>
          <w:p w14:paraId="3CB55D62">
            <w:pPr>
              <w:pStyle w:val="52"/>
              <w:rPr>
                <w:rFonts w:hint="eastAsia" w:ascii="宋体" w:hAnsi="宋体" w:eastAsia="宋体" w:cs="宋体"/>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盐、酱、醋、酒等）</w:t>
            </w:r>
          </w:p>
        </w:tc>
        <w:tc>
          <w:tcPr>
            <w:tcW w:w="1125" w:type="dxa"/>
            <w:vAlign w:val="center"/>
          </w:tcPr>
          <w:p w14:paraId="1CDEF0A1">
            <w:pPr>
              <w:keepNext w:val="0"/>
              <w:keepLines w:val="0"/>
              <w:pageBreakBefore w:val="0"/>
              <w:widowControl w:val="0"/>
              <w:kinsoku/>
              <w:wordWrap/>
              <w:overflowPunct/>
              <w:topLinePunct w:val="0"/>
              <w:autoSpaceDE/>
              <w:autoSpaceDN/>
              <w:bidi w:val="0"/>
              <w:adjustRightInd/>
              <w:ind w:left="210" w:leftChars="0"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35" w:type="dxa"/>
            <w:vAlign w:val="center"/>
          </w:tcPr>
          <w:p w14:paraId="3739698A">
            <w:pPr>
              <w:keepNext w:val="0"/>
              <w:keepLines w:val="0"/>
              <w:pageBreakBefore w:val="0"/>
              <w:widowControl w:val="0"/>
              <w:kinsoku/>
              <w:wordWrap/>
              <w:overflowPunct/>
              <w:topLinePunct w:val="0"/>
              <w:autoSpaceDE/>
              <w:autoSpaceDN/>
              <w:bidi w:val="0"/>
              <w:adjustRightInd/>
              <w:ind w:left="210" w:leftChars="0" w:hanging="210" w:hanging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400</w:t>
            </w:r>
            <w:r>
              <w:rPr>
                <w:rFonts w:hint="eastAsia" w:ascii="宋体" w:hAnsi="宋体" w:eastAsia="宋体" w:cs="宋体"/>
                <w:color w:val="000000" w:themeColor="text1"/>
                <w:sz w:val="21"/>
                <w:szCs w:val="21"/>
                <w:highlight w:val="none"/>
                <w:lang w:val="en-US" w:eastAsia="en-US"/>
                <w14:textFill>
                  <w14:solidFill>
                    <w14:schemeClr w14:val="tx1"/>
                  </w14:solidFill>
                </w14:textFill>
              </w:rPr>
              <w:t>000.00</w:t>
            </w:r>
          </w:p>
        </w:tc>
        <w:tc>
          <w:tcPr>
            <w:tcW w:w="2238" w:type="dxa"/>
            <w:vAlign w:val="center"/>
          </w:tcPr>
          <w:p w14:paraId="4B4A7581">
            <w:pPr>
              <w:keepNext w:val="0"/>
              <w:keepLines w:val="0"/>
              <w:pageBreakBefore w:val="0"/>
              <w:widowControl w:val="0"/>
              <w:kinsoku/>
              <w:wordWrap/>
              <w:overflowPunct/>
              <w:topLinePunct w:val="0"/>
              <w:autoSpaceDE/>
              <w:autoSpaceDN/>
              <w:bidi w:val="0"/>
              <w:adjustRightInd/>
              <w:ind w:left="210" w:leftChars="0" w:hanging="210" w:hanging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自签订供货合同日期起，供货合同期为一年</w:t>
            </w:r>
            <w:r>
              <w:rPr>
                <w:rFonts w:hint="eastAsia" w:ascii="宋体" w:hAnsi="宋体" w:eastAsia="宋体" w:cs="宋体"/>
                <w:color w:val="auto"/>
                <w:sz w:val="21"/>
                <w:szCs w:val="21"/>
                <w:highlight w:val="none"/>
                <w:lang w:val="en-US" w:eastAsia="en-US"/>
              </w:rPr>
              <w:t>。</w:t>
            </w:r>
          </w:p>
        </w:tc>
      </w:tr>
    </w:tbl>
    <w:p w14:paraId="66F35236">
      <w:pPr>
        <w:tabs>
          <w:tab w:val="left" w:pos="420"/>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二、合同金额及服务期：</w:t>
      </w:r>
    </w:p>
    <w:p w14:paraId="5054A766">
      <w:pPr>
        <w:pStyle w:val="19"/>
        <w:spacing w:line="360" w:lineRule="auto"/>
        <w:ind w:right="315" w:rightChars="15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合同下浮率：</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5E0E02CF">
      <w:pPr>
        <w:ind w:firstLine="420" w:firstLineChars="200"/>
        <w:rPr>
          <w:rFonts w:ascii="宋体" w:hAnsi="宋体" w:eastAsia="宋体"/>
        </w:rPr>
      </w:pPr>
      <w:r>
        <w:rPr>
          <w:rFonts w:hint="eastAsia" w:ascii="宋体" w:hAnsi="宋体" w:eastAsia="宋体"/>
        </w:rPr>
        <w:t>服务期：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日至</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日止。（具体按签订合同之日起计算）</w:t>
      </w:r>
    </w:p>
    <w:p w14:paraId="745651E0">
      <w:pPr>
        <w:numPr>
          <w:ilvl w:val="0"/>
          <w:numId w:val="2"/>
        </w:numPr>
        <w:tabs>
          <w:tab w:val="left" w:pos="420"/>
        </w:tabs>
        <w:autoSpaceDE w:val="0"/>
        <w:autoSpaceDN w:val="0"/>
        <w:adjustRightInd w:val="0"/>
        <w:spacing w:line="360" w:lineRule="auto"/>
        <w:ind w:right="315" w:rightChars="150"/>
        <w:jc w:val="left"/>
        <w:rPr>
          <w:rFonts w:hint="eastAsia" w:ascii="宋体" w:hAnsi="宋体" w:eastAsia="宋体"/>
          <w:b/>
          <w:color w:val="000000" w:themeColor="text1"/>
          <w14:textFill>
            <w14:solidFill>
              <w14:schemeClr w14:val="tx1"/>
            </w14:solidFill>
          </w14:textFill>
        </w:rPr>
      </w:pPr>
      <w:r>
        <w:rPr>
          <w:rFonts w:hint="eastAsia" w:ascii="宋体" w:hAnsi="宋体" w:eastAsia="宋体" w:cs="仿宋_GB2312"/>
          <w:b/>
          <w:bCs/>
          <w:color w:val="000000" w:themeColor="text1"/>
          <w:szCs w:val="21"/>
          <w:lang w:val="en-US" w:eastAsia="en-US"/>
          <w14:textFill>
            <w14:solidFill>
              <w14:schemeClr w14:val="tx1"/>
            </w14:solidFill>
          </w14:textFill>
        </w:rPr>
        <w:t>主要商品供货要求</w:t>
      </w:r>
      <w:r>
        <w:rPr>
          <w:rFonts w:hint="eastAsia" w:ascii="宋体" w:hAnsi="宋体" w:eastAsia="宋体" w:cs="仿宋_GB2312"/>
          <w:b/>
          <w:bCs/>
          <w:color w:val="000000" w:themeColor="text1"/>
          <w:szCs w:val="21"/>
          <w:lang w:val="en-US" w:eastAsia="zh-CN"/>
          <w14:textFill>
            <w14:solidFill>
              <w14:schemeClr w14:val="tx1"/>
            </w14:solidFill>
          </w14:textFill>
        </w:rPr>
        <w:t>：</w:t>
      </w:r>
    </w:p>
    <w:p w14:paraId="5DAFE404">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（一）肉类（猪肉、鸡肉、鸭肉、鱼肉、冰鲜、牛肉等）、瓜</w:t>
      </w:r>
      <w:r>
        <w:rPr>
          <w:rFonts w:hint="eastAsia" w:ascii="宋体" w:hAnsi="宋体" w:eastAsia="宋体"/>
          <w:b w:val="0"/>
          <w:bCs/>
          <w:color w:val="000000" w:themeColor="text1"/>
          <w:lang w:val="en-US" w:eastAsia="en-US"/>
          <w14:textFill>
            <w14:solidFill>
              <w14:schemeClr w14:val="tx1"/>
            </w14:solidFill>
          </w14:textFill>
        </w:rPr>
        <w:t>菜类</w:t>
      </w:r>
      <w:r>
        <w:rPr>
          <w:rFonts w:hint="eastAsia" w:ascii="宋体" w:hAnsi="宋体" w:eastAsia="宋体"/>
          <w:b w:val="0"/>
          <w:bCs/>
          <w:color w:val="000000" w:themeColor="text1"/>
          <w:lang w:val="en-US" w:eastAsia="zh-CN"/>
          <w14:textFill>
            <w14:solidFill>
              <w14:schemeClr w14:val="tx1"/>
            </w14:solidFill>
          </w14:textFill>
        </w:rPr>
        <w:t>等品质</w:t>
      </w:r>
      <w:r>
        <w:rPr>
          <w:rFonts w:hint="eastAsia" w:ascii="宋体" w:hAnsi="宋体" w:eastAsia="宋体"/>
          <w:b w:val="0"/>
          <w:bCs/>
          <w:color w:val="000000" w:themeColor="text1"/>
          <w:lang w:val="en-US" w:eastAsia="en-US"/>
          <w14:textFill>
            <w14:solidFill>
              <w14:schemeClr w14:val="tx1"/>
            </w14:solidFill>
          </w14:textFill>
        </w:rPr>
        <w:t>要求</w:t>
      </w:r>
    </w:p>
    <w:p w14:paraId="008CE706">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w:t>
      </w:r>
      <w:r>
        <w:rPr>
          <w:rFonts w:hint="eastAsia" w:ascii="宋体" w:hAnsi="宋体" w:eastAsia="宋体"/>
          <w:b w:val="0"/>
          <w:bCs/>
          <w:color w:val="000000" w:themeColor="text1"/>
          <w:lang w:val="en-US" w:eastAsia="en-US"/>
          <w14:textFill>
            <w14:solidFill>
              <w14:schemeClr w14:val="tx1"/>
            </w14:solidFill>
          </w14:textFill>
        </w:rPr>
        <w:t>所有鲜肉类、禽类必须符合国家食品安全卫生标准，保证当天屠宰、无注水、无异味、无霉烂变质。鲜猪肉供货时需提供当批次有效的非洲猪瘟病毒检测合格报告，肉品检测合格报告，动物检验检疫合格证明，原件备查。（鲜肉类利用率不低于98%）。</w:t>
      </w:r>
    </w:p>
    <w:p w14:paraId="3E34049A">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w:t>
      </w:r>
      <w:r>
        <w:rPr>
          <w:rFonts w:hint="eastAsia" w:ascii="宋体" w:hAnsi="宋体" w:eastAsia="宋体"/>
          <w:b w:val="0"/>
          <w:bCs/>
          <w:color w:val="000000" w:themeColor="text1"/>
          <w:lang w:val="en-US" w:eastAsia="en-US"/>
          <w14:textFill>
            <w14:solidFill>
              <w14:schemeClr w14:val="tx1"/>
            </w14:solidFill>
          </w14:textFill>
        </w:rPr>
        <w:t>水产类须鲜活（利用率不低于95%）。</w:t>
      </w:r>
    </w:p>
    <w:p w14:paraId="693D658D">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3.中标供应商</w:t>
      </w:r>
      <w:r>
        <w:rPr>
          <w:rFonts w:hint="eastAsia" w:ascii="宋体" w:hAnsi="宋体" w:eastAsia="宋体"/>
          <w:b w:val="0"/>
          <w:bCs/>
          <w:color w:val="000000" w:themeColor="text1"/>
          <w:lang w:val="en-US" w:eastAsia="en-US"/>
          <w14:textFill>
            <w14:solidFill>
              <w14:schemeClr w14:val="tx1"/>
            </w14:solidFill>
          </w14:textFill>
        </w:rPr>
        <w:t>的有效资质证明（首次供应时提供）：《企业法人营业执照》、《食品卫生许可证》、《动物防疫合格证》、《食品经营许可证》。</w:t>
      </w:r>
    </w:p>
    <w:p w14:paraId="19B36CBA">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 xml:space="preserve">4.喙有光泽、干燥、无粘液； </w:t>
      </w:r>
    </w:p>
    <w:p w14:paraId="48366C22">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 xml:space="preserve">5.口腔：光禽口腔粘膜呈淡玫瑰色，有光泽、洁净、无异味； </w:t>
      </w:r>
    </w:p>
    <w:p w14:paraId="20A04F99">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 xml:space="preserve">6.光禽眼睛明亮，充满整个眼窝； </w:t>
      </w:r>
    </w:p>
    <w:p w14:paraId="600CF361">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 xml:space="preserve">7.皮肤：光禽皮肤上毛孔隆起，表面干燥而紧缩，呈乳白色或淡黄色，稍带微红，无异味； </w:t>
      </w:r>
    </w:p>
    <w:p w14:paraId="2AF50B4E">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 xml:space="preserve">8.脂肪：光禽脂肪呈淡黄色或黄色，有光泽，无异味； </w:t>
      </w:r>
    </w:p>
    <w:p w14:paraId="571E9479">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 xml:space="preserve">9.肌肉：光禽肌肉结实，有弹性，有光泽，颈、腿部肌肉呈玫瑰红色变质的光禽肌肉松驰，湿润发粘，色变暗红，有明显腐败气味； </w:t>
      </w:r>
    </w:p>
    <w:p w14:paraId="3862C825">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10.</w:t>
      </w:r>
      <w:r>
        <w:rPr>
          <w:rFonts w:hint="eastAsia" w:ascii="宋体" w:hAnsi="宋体" w:eastAsia="宋体"/>
          <w:b w:val="0"/>
          <w:bCs/>
          <w:color w:val="000000" w:themeColor="text1"/>
          <w:lang w:val="en-US" w:eastAsia="en-US"/>
          <w14:textFill>
            <w14:solidFill>
              <w14:schemeClr w14:val="tx1"/>
            </w14:solidFill>
          </w14:textFill>
        </w:rPr>
        <w:t>色泽：肌肉有光泽,红色均匀，脂肪乳白色，肌肉有光泽，红色或稍暗，脂肪白色。</w:t>
      </w:r>
    </w:p>
    <w:p w14:paraId="735A6376">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11.</w:t>
      </w:r>
      <w:r>
        <w:rPr>
          <w:rFonts w:hint="eastAsia" w:ascii="宋体" w:hAnsi="宋体" w:eastAsia="宋体"/>
          <w:b w:val="0"/>
          <w:bCs/>
          <w:color w:val="000000" w:themeColor="text1"/>
          <w:lang w:val="en-US" w:eastAsia="en-US"/>
          <w14:textFill>
            <w14:solidFill>
              <w14:schemeClr w14:val="tx1"/>
            </w14:solidFill>
          </w14:textFill>
        </w:rPr>
        <w:t>组织状态：纤维清晰，有坚韧性，指压后凹陷立即恢复，肉质紧密，有坚韧性。</w:t>
      </w:r>
    </w:p>
    <w:p w14:paraId="673FA324">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12.</w:t>
      </w:r>
      <w:r>
        <w:rPr>
          <w:rFonts w:hint="eastAsia" w:ascii="宋体" w:hAnsi="宋体" w:eastAsia="宋体"/>
          <w:b w:val="0"/>
          <w:bCs/>
          <w:color w:val="000000" w:themeColor="text1"/>
          <w:lang w:val="en-US" w:eastAsia="en-US"/>
          <w14:textFill>
            <w14:solidFill>
              <w14:schemeClr w14:val="tx1"/>
            </w14:solidFill>
          </w14:textFill>
        </w:rPr>
        <w:t>粘度：外表湿润，不粘手，外表湿润，切面有渗出液，不粘手。</w:t>
      </w:r>
    </w:p>
    <w:p w14:paraId="3CDE5662">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13.</w:t>
      </w:r>
      <w:r>
        <w:rPr>
          <w:rFonts w:hint="eastAsia" w:ascii="宋体" w:hAnsi="宋体" w:eastAsia="宋体"/>
          <w:b w:val="0"/>
          <w:bCs/>
          <w:color w:val="000000" w:themeColor="text1"/>
          <w:lang w:val="en-US" w:eastAsia="en-US"/>
          <w14:textFill>
            <w14:solidFill>
              <w14:schemeClr w14:val="tx1"/>
            </w14:solidFill>
          </w14:textFill>
        </w:rPr>
        <w:t>气味：具有鲜肉固有的气味，无异味，煮沸后肉汤，澄清透明，脂肪团聚于表面，澄清透明或稍有浑浊</w:t>
      </w:r>
      <w:r>
        <w:rPr>
          <w:rFonts w:hint="eastAsia" w:ascii="宋体" w:hAnsi="宋体" w:eastAsia="宋体"/>
          <w:b w:val="0"/>
          <w:bCs/>
          <w:color w:val="000000" w:themeColor="text1"/>
          <w:lang w:val="en-US" w:eastAsia="zh-CN"/>
          <w14:textFill>
            <w14:solidFill>
              <w14:schemeClr w14:val="tx1"/>
            </w14:solidFill>
          </w14:textFill>
        </w:rPr>
        <w:t>。</w:t>
      </w:r>
    </w:p>
    <w:p w14:paraId="51314DF3">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14.</w:t>
      </w:r>
      <w:r>
        <w:rPr>
          <w:rFonts w:hint="eastAsia" w:ascii="宋体" w:hAnsi="宋体" w:eastAsia="宋体"/>
          <w:b w:val="0"/>
          <w:bCs/>
          <w:color w:val="000000" w:themeColor="text1"/>
          <w:lang w:val="en-US" w:eastAsia="en-US"/>
          <w14:textFill>
            <w14:solidFill>
              <w14:schemeClr w14:val="tx1"/>
            </w14:solidFill>
          </w14:textFill>
        </w:rPr>
        <w:t>鱼类鲜活(利用率不低于95%)。</w:t>
      </w:r>
    </w:p>
    <w:p w14:paraId="3F34C8A1">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15.冻肉类产品</w:t>
      </w:r>
      <w:r>
        <w:rPr>
          <w:rFonts w:hint="eastAsia" w:ascii="宋体" w:hAnsi="宋体" w:eastAsia="宋体"/>
          <w:b w:val="0"/>
          <w:bCs/>
          <w:color w:val="000000" w:themeColor="text1"/>
          <w:lang w:val="en-US" w:eastAsia="en-US"/>
          <w14:textFill>
            <w14:solidFill>
              <w14:schemeClr w14:val="tx1"/>
            </w14:solidFill>
          </w14:textFill>
        </w:rPr>
        <w:t>色泽鲜亮、无异味、包装完好</w:t>
      </w:r>
      <w:r>
        <w:rPr>
          <w:rFonts w:hint="eastAsia" w:ascii="宋体" w:hAnsi="宋体" w:eastAsia="宋体"/>
          <w:b w:val="0"/>
          <w:bCs/>
          <w:color w:val="000000" w:themeColor="text1"/>
          <w:lang w:val="en-US" w:eastAsia="zh-CN"/>
          <w14:textFill>
            <w14:solidFill>
              <w14:schemeClr w14:val="tx1"/>
            </w14:solidFill>
          </w14:textFill>
        </w:rPr>
        <w:t>。</w:t>
      </w:r>
      <w:r>
        <w:rPr>
          <w:rFonts w:hint="eastAsia" w:ascii="宋体" w:hAnsi="宋体" w:eastAsia="宋体"/>
          <w:b w:val="0"/>
          <w:bCs/>
          <w:color w:val="000000" w:themeColor="text1"/>
          <w:lang w:val="en-US" w:eastAsia="en-US"/>
          <w14:textFill>
            <w14:solidFill>
              <w14:schemeClr w14:val="tx1"/>
            </w14:solidFill>
          </w14:textFill>
        </w:rPr>
        <w:t>产品中间不能有过多冰块，重量必须和包装箱上标明的重量一致。</w:t>
      </w:r>
    </w:p>
    <w:p w14:paraId="73401FB9">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16.</w:t>
      </w:r>
      <w:r>
        <w:rPr>
          <w:rFonts w:hint="eastAsia" w:ascii="宋体" w:hAnsi="宋体" w:eastAsia="宋体"/>
          <w:b w:val="0"/>
          <w:bCs/>
          <w:color w:val="000000" w:themeColor="text1"/>
          <w:lang w:val="en-US" w:eastAsia="en-US"/>
          <w14:textFill>
            <w14:solidFill>
              <w14:schemeClr w14:val="tx1"/>
            </w14:solidFill>
          </w14:textFill>
        </w:rPr>
        <w:t>所有</w:t>
      </w:r>
      <w:r>
        <w:rPr>
          <w:rFonts w:hint="eastAsia" w:ascii="宋体" w:hAnsi="宋体" w:eastAsia="宋体"/>
          <w:b w:val="0"/>
          <w:bCs/>
          <w:color w:val="000000" w:themeColor="text1"/>
          <w:lang w:val="en-US" w:eastAsia="zh-CN"/>
          <w14:textFill>
            <w14:solidFill>
              <w14:schemeClr w14:val="tx1"/>
            </w14:solidFill>
          </w14:textFill>
        </w:rPr>
        <w:t>瓜</w:t>
      </w:r>
      <w:r>
        <w:rPr>
          <w:rFonts w:hint="eastAsia" w:ascii="宋体" w:hAnsi="宋体" w:eastAsia="宋体"/>
          <w:b w:val="0"/>
          <w:bCs/>
          <w:color w:val="000000" w:themeColor="text1"/>
          <w:lang w:val="en-US" w:eastAsia="en-US"/>
          <w14:textFill>
            <w14:solidFill>
              <w14:schemeClr w14:val="tx1"/>
            </w14:solidFill>
          </w14:textFill>
        </w:rPr>
        <w:t>菜必须符合国家有关标准，保证新鲜、无异味、无霉烂变质。</w:t>
      </w:r>
    </w:p>
    <w:p w14:paraId="3BF4E602">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17.</w:t>
      </w:r>
      <w:r>
        <w:rPr>
          <w:rFonts w:hint="eastAsia" w:ascii="宋体" w:hAnsi="宋体" w:eastAsia="宋体"/>
          <w:b w:val="0"/>
          <w:bCs/>
          <w:color w:val="000000" w:themeColor="text1"/>
          <w:lang w:val="en-US" w:eastAsia="en-US"/>
          <w14:textFill>
            <w14:solidFill>
              <w14:schemeClr w14:val="tx1"/>
            </w14:solidFill>
          </w14:textFill>
        </w:rPr>
        <w:t>所有</w:t>
      </w:r>
      <w:r>
        <w:rPr>
          <w:rFonts w:hint="eastAsia" w:ascii="宋体" w:hAnsi="宋体" w:eastAsia="宋体"/>
          <w:b w:val="0"/>
          <w:bCs/>
          <w:color w:val="000000" w:themeColor="text1"/>
          <w:lang w:val="en-US" w:eastAsia="zh-CN"/>
          <w14:textFill>
            <w14:solidFill>
              <w14:schemeClr w14:val="tx1"/>
            </w14:solidFill>
          </w14:textFill>
        </w:rPr>
        <w:t>瓜</w:t>
      </w:r>
      <w:r>
        <w:rPr>
          <w:rFonts w:hint="eastAsia" w:ascii="宋体" w:hAnsi="宋体" w:eastAsia="宋体"/>
          <w:b w:val="0"/>
          <w:bCs/>
          <w:color w:val="000000" w:themeColor="text1"/>
          <w:lang w:val="en-US" w:eastAsia="en-US"/>
          <w14:textFill>
            <w14:solidFill>
              <w14:schemeClr w14:val="tx1"/>
            </w14:solidFill>
          </w14:textFill>
        </w:rPr>
        <w:t>菜必须保证食用安全，绝无农药等有害物质的留存。</w:t>
      </w:r>
    </w:p>
    <w:p w14:paraId="0463D018">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18.</w:t>
      </w:r>
      <w:r>
        <w:rPr>
          <w:rFonts w:hint="eastAsia" w:ascii="宋体" w:hAnsi="宋体" w:eastAsia="宋体"/>
          <w:b w:val="0"/>
          <w:bCs/>
          <w:color w:val="000000" w:themeColor="text1"/>
          <w:lang w:val="en-US" w:eastAsia="en-US"/>
          <w14:textFill>
            <w14:solidFill>
              <w14:schemeClr w14:val="tx1"/>
            </w14:solidFill>
          </w14:textFill>
        </w:rPr>
        <w:t>所有</w:t>
      </w:r>
      <w:r>
        <w:rPr>
          <w:rFonts w:hint="eastAsia" w:ascii="宋体" w:hAnsi="宋体" w:eastAsia="宋体"/>
          <w:b w:val="0"/>
          <w:bCs/>
          <w:color w:val="000000" w:themeColor="text1"/>
          <w:lang w:val="en-US" w:eastAsia="zh-CN"/>
          <w14:textFill>
            <w14:solidFill>
              <w14:schemeClr w14:val="tx1"/>
            </w14:solidFill>
          </w14:textFill>
        </w:rPr>
        <w:t>瓜</w:t>
      </w:r>
      <w:r>
        <w:rPr>
          <w:rFonts w:hint="eastAsia" w:ascii="宋体" w:hAnsi="宋体" w:eastAsia="宋体"/>
          <w:b w:val="0"/>
          <w:bCs/>
          <w:color w:val="000000" w:themeColor="text1"/>
          <w:lang w:val="en-US" w:eastAsia="en-US"/>
          <w14:textFill>
            <w14:solidFill>
              <w14:schemeClr w14:val="tx1"/>
            </w14:solidFill>
          </w14:textFill>
        </w:rPr>
        <w:t>菜在交付</w:t>
      </w:r>
      <w:r>
        <w:rPr>
          <w:rFonts w:hint="eastAsia" w:ascii="宋体" w:hAnsi="宋体" w:eastAsia="宋体"/>
          <w:b w:val="0"/>
          <w:bCs/>
          <w:color w:val="000000" w:themeColor="text1"/>
          <w:lang w:val="en-US" w:eastAsia="zh-CN"/>
          <w14:textFill>
            <w14:solidFill>
              <w14:schemeClr w14:val="tx1"/>
            </w14:solidFill>
          </w14:textFill>
        </w:rPr>
        <w:t>采购单位</w:t>
      </w:r>
      <w:r>
        <w:rPr>
          <w:rFonts w:hint="eastAsia" w:ascii="宋体" w:hAnsi="宋体" w:eastAsia="宋体"/>
          <w:b w:val="0"/>
          <w:bCs/>
          <w:color w:val="000000" w:themeColor="text1"/>
          <w:lang w:val="en-US" w:eastAsia="en-US"/>
          <w14:textFill>
            <w14:solidFill>
              <w14:schemeClr w14:val="tx1"/>
            </w14:solidFill>
          </w14:textFill>
        </w:rPr>
        <w:t>前必须经过前期处理，处理率达到95%以上。</w:t>
      </w:r>
    </w:p>
    <w:p w14:paraId="12B14DD3">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19</w:t>
      </w:r>
      <w:r>
        <w:rPr>
          <w:rFonts w:hint="eastAsia" w:ascii="宋体" w:hAnsi="宋体" w:eastAsia="宋体"/>
          <w:b w:val="0"/>
          <w:bCs/>
          <w:color w:val="000000" w:themeColor="text1"/>
          <w:lang w:val="en-US" w:eastAsia="en-US"/>
          <w14:textFill>
            <w14:solidFill>
              <w14:schemeClr w14:val="tx1"/>
            </w14:solidFill>
          </w14:textFill>
        </w:rPr>
        <w:t>水量：充足、但无过份萎蔫、皱皮。</w:t>
      </w:r>
    </w:p>
    <w:p w14:paraId="79AD75AF">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20</w:t>
      </w:r>
      <w:r>
        <w:rPr>
          <w:rFonts w:hint="eastAsia" w:ascii="宋体" w:hAnsi="宋体" w:eastAsia="宋体"/>
          <w:b w:val="0"/>
          <w:bCs/>
          <w:color w:val="000000" w:themeColor="text1"/>
          <w:lang w:val="en-US" w:eastAsia="en-US"/>
          <w14:textFill>
            <w14:solidFill>
              <w14:schemeClr w14:val="tx1"/>
            </w14:solidFill>
          </w14:textFill>
        </w:rPr>
        <w:t>色泽：正常、无变色、光泽、学亮鲜艳。</w:t>
      </w:r>
    </w:p>
    <w:p w14:paraId="7A55C0B5">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21.</w:t>
      </w:r>
      <w:r>
        <w:rPr>
          <w:rFonts w:hint="eastAsia" w:ascii="宋体" w:hAnsi="宋体" w:eastAsia="宋体"/>
          <w:b w:val="0"/>
          <w:bCs/>
          <w:color w:val="000000" w:themeColor="text1"/>
          <w:lang w:val="en-US" w:eastAsia="en-US"/>
          <w14:textFill>
            <w14:solidFill>
              <w14:schemeClr w14:val="tx1"/>
            </w14:solidFill>
          </w14:textFill>
        </w:rPr>
        <w:t>硬度：叶菜挺立、爪菜饱满、结实、无空心、根菜略硬。</w:t>
      </w:r>
    </w:p>
    <w:p w14:paraId="79B7467E">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22.</w:t>
      </w:r>
      <w:r>
        <w:rPr>
          <w:rFonts w:hint="eastAsia" w:ascii="宋体" w:hAnsi="宋体" w:eastAsia="宋体"/>
          <w:b w:val="0"/>
          <w:bCs/>
          <w:color w:val="000000" w:themeColor="text1"/>
          <w:lang w:val="en-US" w:eastAsia="en-US"/>
          <w14:textFill>
            <w14:solidFill>
              <w14:schemeClr w14:val="tx1"/>
            </w14:solidFill>
          </w14:textFill>
        </w:rPr>
        <w:t>机械伤：相同新鲜条件下无外力造成伤害：挤伤、压伤、碰伤切口、裂伤等。</w:t>
      </w:r>
    </w:p>
    <w:p w14:paraId="7270A293">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23.</w:t>
      </w:r>
      <w:r>
        <w:rPr>
          <w:rFonts w:hint="eastAsia" w:ascii="宋体" w:hAnsi="宋体" w:eastAsia="宋体"/>
          <w:b w:val="0"/>
          <w:bCs/>
          <w:color w:val="000000" w:themeColor="text1"/>
          <w:lang w:val="en-US" w:eastAsia="en-US"/>
          <w14:textFill>
            <w14:solidFill>
              <w14:schemeClr w14:val="tx1"/>
            </w14:solidFill>
          </w14:textFill>
        </w:rPr>
        <w:t>病虫害：无虫害、虫嗑、无残虫卵。</w:t>
      </w:r>
    </w:p>
    <w:p w14:paraId="112F3616">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24.</w:t>
      </w:r>
      <w:r>
        <w:rPr>
          <w:rFonts w:hint="eastAsia" w:ascii="宋体" w:hAnsi="宋体" w:eastAsia="宋体"/>
          <w:b w:val="0"/>
          <w:bCs/>
          <w:color w:val="000000" w:themeColor="text1"/>
          <w:lang w:val="en-US" w:eastAsia="en-US"/>
          <w14:textFill>
            <w14:solidFill>
              <w14:schemeClr w14:val="tx1"/>
            </w14:solidFill>
          </w14:textFill>
        </w:rPr>
        <w:t>形状：枝叶丰满、大小适中、曲线谐调。</w:t>
      </w:r>
    </w:p>
    <w:p w14:paraId="401E64B7">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25.</w:t>
      </w:r>
      <w:r>
        <w:rPr>
          <w:rFonts w:hint="eastAsia" w:ascii="宋体" w:hAnsi="宋体" w:eastAsia="宋体"/>
          <w:b w:val="0"/>
          <w:bCs/>
          <w:color w:val="000000" w:themeColor="text1"/>
          <w:lang w:val="en-US" w:eastAsia="en-US"/>
          <w14:textFill>
            <w14:solidFill>
              <w14:schemeClr w14:val="tx1"/>
            </w14:solidFill>
          </w14:textFill>
        </w:rPr>
        <w:t>成熟度：适中、无未熟过识、腐烂。</w:t>
      </w:r>
    </w:p>
    <w:p w14:paraId="25207AC8">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26.</w:t>
      </w:r>
      <w:r>
        <w:rPr>
          <w:rFonts w:hint="eastAsia" w:ascii="宋体" w:hAnsi="宋体" w:eastAsia="宋体"/>
          <w:b w:val="0"/>
          <w:bCs/>
          <w:color w:val="000000" w:themeColor="text1"/>
          <w:lang w:val="en-US" w:eastAsia="en-US"/>
          <w14:textFill>
            <w14:solidFill>
              <w14:schemeClr w14:val="tx1"/>
            </w14:solidFill>
          </w14:textFill>
        </w:rPr>
        <w:t>污染：无污染、残留农药、运输造成的污染。</w:t>
      </w:r>
    </w:p>
    <w:p w14:paraId="66758FA3">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27.</w:t>
      </w:r>
      <w:r>
        <w:rPr>
          <w:rFonts w:hint="eastAsia" w:ascii="宋体" w:hAnsi="宋体" w:eastAsia="宋体"/>
          <w:b w:val="0"/>
          <w:bCs/>
          <w:color w:val="000000" w:themeColor="text1"/>
          <w:lang w:val="en-US" w:eastAsia="en-US"/>
          <w14:textFill>
            <w14:solidFill>
              <w14:schemeClr w14:val="tx1"/>
            </w14:solidFill>
          </w14:textFill>
        </w:rPr>
        <w:t>叶菜类：挺实、全味正、颜色好、无过多黄叶、腐烂叶与多泥根，水份充足、无萎蔫、不成熟现象。</w:t>
      </w:r>
    </w:p>
    <w:p w14:paraId="4EF538A7">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28.</w:t>
      </w:r>
      <w:r>
        <w:rPr>
          <w:rFonts w:hint="eastAsia" w:ascii="宋体" w:hAnsi="宋体" w:eastAsia="宋体"/>
          <w:b w:val="0"/>
          <w:bCs/>
          <w:color w:val="000000" w:themeColor="text1"/>
          <w:lang w:val="en-US" w:eastAsia="en-US"/>
          <w14:textFill>
            <w14:solidFill>
              <w14:schemeClr w14:val="tx1"/>
            </w14:solidFill>
          </w14:textFill>
        </w:rPr>
        <w:t>瓜菜类：个大、成熟、新鲜、外皮无斑点、有新鲜绿秧、无软化、变质现象。</w:t>
      </w:r>
    </w:p>
    <w:p w14:paraId="5E1A37AD">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29.</w:t>
      </w:r>
      <w:r>
        <w:rPr>
          <w:rFonts w:hint="eastAsia" w:ascii="宋体" w:hAnsi="宋体" w:eastAsia="宋体"/>
          <w:b w:val="0"/>
          <w:bCs/>
          <w:color w:val="000000" w:themeColor="text1"/>
          <w:lang w:val="en-US" w:eastAsia="en-US"/>
          <w14:textFill>
            <w14:solidFill>
              <w14:schemeClr w14:val="tx1"/>
            </w14:solidFill>
          </w14:textFill>
        </w:rPr>
        <w:t>根菜类：挺实、无软化、腐烂、带泥过多、色泽正常、形状正常、无生芽现象。</w:t>
      </w:r>
    </w:p>
    <w:p w14:paraId="5F8533DF">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30.</w:t>
      </w:r>
      <w:r>
        <w:rPr>
          <w:rFonts w:hint="eastAsia" w:ascii="宋体" w:hAnsi="宋体" w:eastAsia="宋体"/>
          <w:b w:val="0"/>
          <w:bCs/>
          <w:color w:val="000000" w:themeColor="text1"/>
          <w:lang w:val="en-US" w:eastAsia="en-US"/>
          <w14:textFill>
            <w14:solidFill>
              <w14:schemeClr w14:val="tx1"/>
            </w14:solidFill>
          </w14:textFill>
        </w:rPr>
        <w:t>薯芋类：色泽一致，不带泥沙，不带须根、茎叶，不干瘪，无腐烂、畸形、异味、明显机械伤、病虫害斑，马铃薯无发芽，皮不变绿。</w:t>
      </w:r>
    </w:p>
    <w:p w14:paraId="38D1290F">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31.</w:t>
      </w:r>
      <w:r>
        <w:rPr>
          <w:rFonts w:hint="eastAsia" w:ascii="宋体" w:hAnsi="宋体" w:eastAsia="宋体"/>
          <w:b w:val="0"/>
          <w:bCs/>
          <w:color w:val="000000" w:themeColor="text1"/>
          <w:lang w:val="en-US" w:eastAsia="en-US"/>
          <w14:textFill>
            <w14:solidFill>
              <w14:schemeClr w14:val="tx1"/>
            </w14:solidFill>
          </w14:textFill>
        </w:rPr>
        <w:t>葱蒜类：允许葱、青蒜类保留干净须根，葱、蒜、韭菜不带老叶，蒜头、洋葱去根去枯叶，可食部分新鲜幼嫩，无腐烂、畸形、异味。</w:t>
      </w:r>
    </w:p>
    <w:p w14:paraId="634FCF60">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32.</w:t>
      </w:r>
      <w:r>
        <w:rPr>
          <w:rFonts w:hint="eastAsia" w:ascii="宋体" w:hAnsi="宋体" w:eastAsia="宋体"/>
          <w:b w:val="0"/>
          <w:bCs/>
          <w:color w:val="000000" w:themeColor="text1"/>
          <w:lang w:val="en-US" w:eastAsia="en-US"/>
          <w14:textFill>
            <w14:solidFill>
              <w14:schemeClr w14:val="tx1"/>
            </w14:solidFill>
          </w14:textFill>
        </w:rPr>
        <w:t>芽苗类：芽苗幼嫩，不带豆壳杂质，新鲜，不浸水，无腐烂、异味。</w:t>
      </w:r>
    </w:p>
    <w:p w14:paraId="28DBA5FD">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33.</w:t>
      </w:r>
      <w:r>
        <w:rPr>
          <w:rFonts w:hint="eastAsia" w:ascii="宋体" w:hAnsi="宋体" w:eastAsia="宋体"/>
          <w:b w:val="0"/>
          <w:bCs/>
          <w:color w:val="000000" w:themeColor="text1"/>
          <w:lang w:val="en-US" w:eastAsia="en-US"/>
          <w14:textFill>
            <w14:solidFill>
              <w14:schemeClr w14:val="tx1"/>
            </w14:solidFill>
          </w14:textFill>
        </w:rPr>
        <w:t>豆腐：呈均匀的乳白色或淡黄色，稍有光泽，块形完整，软硬适度，富有一定的弹性，质地细嫩、结构均匀、无杂质，具有豆腐特有的香味，取样品品尝时口感细腻鲜嫩，味道纯正清香。</w:t>
      </w:r>
    </w:p>
    <w:p w14:paraId="4EB2B8CD">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34.生姜：不泡水、不</w:t>
      </w:r>
      <w:r>
        <w:rPr>
          <w:rFonts w:hint="eastAsia" w:ascii="宋体" w:hAnsi="宋体" w:eastAsia="宋体"/>
          <w:b w:val="0"/>
          <w:bCs/>
          <w:color w:val="000000" w:themeColor="text1"/>
          <w:lang w:val="en-US" w:eastAsia="en-US"/>
          <w14:textFill>
            <w14:solidFill>
              <w14:schemeClr w14:val="tx1"/>
            </w14:solidFill>
          </w14:textFill>
        </w:rPr>
        <w:t>腐</w:t>
      </w:r>
      <w:r>
        <w:rPr>
          <w:rFonts w:hint="eastAsia" w:ascii="宋体" w:hAnsi="宋体" w:eastAsia="宋体"/>
          <w:b w:val="0"/>
          <w:bCs/>
          <w:color w:val="000000" w:themeColor="text1"/>
          <w:lang w:val="en-US" w:eastAsia="zh-CN"/>
          <w14:textFill>
            <w14:solidFill>
              <w14:schemeClr w14:val="tx1"/>
            </w14:solidFill>
          </w14:textFill>
        </w:rPr>
        <w:t>烂。</w:t>
      </w:r>
    </w:p>
    <w:p w14:paraId="7239078F">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zh-CN"/>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（二）包点、粉类、薯类品质要求</w:t>
      </w:r>
    </w:p>
    <w:p w14:paraId="1F050FE8">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w:t>
      </w:r>
      <w:r>
        <w:rPr>
          <w:rFonts w:hint="eastAsia" w:ascii="宋体" w:hAnsi="宋体" w:eastAsia="宋体"/>
          <w:b w:val="0"/>
          <w:bCs/>
          <w:color w:val="000000" w:themeColor="text1"/>
          <w14:textFill>
            <w14:solidFill>
              <w14:schemeClr w14:val="tx1"/>
            </w14:solidFill>
          </w14:textFill>
        </w:rPr>
        <w:t>所提供产品必须符合国家食品安全法规及相关国家标准（糕点、面包类）。</w:t>
      </w:r>
    </w:p>
    <w:p w14:paraId="760931F9">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w:t>
      </w:r>
      <w:r>
        <w:rPr>
          <w:rFonts w:hint="eastAsia" w:ascii="宋体" w:hAnsi="宋体" w:eastAsia="宋体"/>
          <w:b w:val="0"/>
          <w:bCs/>
          <w:color w:val="000000" w:themeColor="text1"/>
          <w14:textFill>
            <w14:solidFill>
              <w14:schemeClr w14:val="tx1"/>
            </w14:solidFill>
          </w14:textFill>
        </w:rPr>
        <w:t>形态</w:t>
      </w:r>
      <w:r>
        <w:rPr>
          <w:rFonts w:hint="eastAsia" w:ascii="宋体" w:hAnsi="宋体" w:eastAsia="宋体"/>
          <w:b w:val="0"/>
          <w:bCs/>
          <w:color w:val="000000" w:themeColor="text1"/>
          <w:lang w:eastAsia="zh-CN"/>
          <w14:textFill>
            <w14:solidFill>
              <w14:schemeClr w14:val="tx1"/>
            </w14:solidFill>
          </w14:textFill>
        </w:rPr>
        <w:t>：</w:t>
      </w:r>
      <w:r>
        <w:rPr>
          <w:rFonts w:hint="eastAsia" w:ascii="宋体" w:hAnsi="宋体" w:eastAsia="宋体"/>
          <w:b w:val="0"/>
          <w:bCs/>
          <w:color w:val="000000" w:themeColor="text1"/>
          <w14:textFill>
            <w14:solidFill>
              <w14:schemeClr w14:val="tx1"/>
            </w14:solidFill>
          </w14:textFill>
        </w:rPr>
        <w:t>完整，丰满，无黑泡或明显焦斑，形状应与品种造型相符。</w:t>
      </w:r>
    </w:p>
    <w:p w14:paraId="47BAC250">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w:t>
      </w:r>
      <w:r>
        <w:rPr>
          <w:rFonts w:hint="eastAsia" w:ascii="宋体" w:hAnsi="宋体" w:eastAsia="宋体"/>
          <w:b w:val="0"/>
          <w:bCs/>
          <w:color w:val="000000" w:themeColor="text1"/>
          <w14:textFill>
            <w14:solidFill>
              <w14:schemeClr w14:val="tx1"/>
            </w14:solidFill>
          </w14:textFill>
        </w:rPr>
        <w:t>色泽</w:t>
      </w:r>
      <w:r>
        <w:rPr>
          <w:rFonts w:hint="eastAsia" w:ascii="宋体" w:hAnsi="宋体" w:eastAsia="宋体"/>
          <w:b w:val="0"/>
          <w:bCs/>
          <w:color w:val="000000" w:themeColor="text1"/>
          <w:lang w:eastAsia="zh-CN"/>
          <w14:textFill>
            <w14:solidFill>
              <w14:schemeClr w14:val="tx1"/>
            </w14:solidFill>
          </w14:textFill>
        </w:rPr>
        <w:t>：</w:t>
      </w:r>
      <w:r>
        <w:rPr>
          <w:rFonts w:hint="eastAsia" w:ascii="宋体" w:hAnsi="宋体" w:eastAsia="宋体"/>
          <w:b w:val="0"/>
          <w:bCs/>
          <w:color w:val="000000" w:themeColor="text1"/>
          <w14:textFill>
            <w14:solidFill>
              <w14:schemeClr w14:val="tx1"/>
            </w14:solidFill>
          </w14:textFill>
        </w:rPr>
        <w:t>金黄色、淡棕色或棕灰色，色泽均匀、正常。</w:t>
      </w:r>
    </w:p>
    <w:p w14:paraId="238A2D83">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4.</w:t>
      </w:r>
      <w:r>
        <w:rPr>
          <w:rFonts w:hint="eastAsia" w:ascii="宋体" w:hAnsi="宋体" w:eastAsia="宋体"/>
          <w:b w:val="0"/>
          <w:bCs/>
          <w:color w:val="000000" w:themeColor="text1"/>
          <w14:textFill>
            <w14:solidFill>
              <w14:schemeClr w14:val="tx1"/>
            </w14:solidFill>
          </w14:textFill>
        </w:rPr>
        <w:t>组织</w:t>
      </w:r>
      <w:r>
        <w:rPr>
          <w:rFonts w:hint="eastAsia" w:ascii="宋体" w:hAnsi="宋体" w:eastAsia="宋体"/>
          <w:b w:val="0"/>
          <w:bCs/>
          <w:color w:val="000000" w:themeColor="text1"/>
          <w:lang w:eastAsia="zh-CN"/>
          <w14:textFill>
            <w14:solidFill>
              <w14:schemeClr w14:val="tx1"/>
            </w14:solidFill>
          </w14:textFill>
        </w:rPr>
        <w:t>：</w:t>
      </w:r>
      <w:r>
        <w:rPr>
          <w:rFonts w:hint="eastAsia" w:ascii="宋体" w:hAnsi="宋体" w:eastAsia="宋体"/>
          <w:b w:val="0"/>
          <w:bCs/>
          <w:color w:val="000000" w:themeColor="text1"/>
          <w14:textFill>
            <w14:solidFill>
              <w14:schemeClr w14:val="tx1"/>
            </w14:solidFill>
          </w14:textFill>
        </w:rPr>
        <w:t>细腻，有弹性，气孔均匀，纹理清晰，呈海绵状。符合产品应有的组织。</w:t>
      </w:r>
    </w:p>
    <w:p w14:paraId="1AC16264">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5.</w:t>
      </w:r>
      <w:r>
        <w:rPr>
          <w:rFonts w:hint="eastAsia" w:ascii="宋体" w:hAnsi="宋体" w:eastAsia="宋体"/>
          <w:b w:val="0"/>
          <w:bCs/>
          <w:color w:val="000000" w:themeColor="text1"/>
          <w14:textFill>
            <w14:solidFill>
              <w14:schemeClr w14:val="tx1"/>
            </w14:solidFill>
          </w14:textFill>
        </w:rPr>
        <w:t>滋味、口感:具有发酵和烘烤后的面包香味，松软适口，无异味。</w:t>
      </w:r>
    </w:p>
    <w:p w14:paraId="0A25589F">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6.</w:t>
      </w:r>
      <w:r>
        <w:rPr>
          <w:rFonts w:hint="eastAsia" w:ascii="宋体" w:hAnsi="宋体" w:eastAsia="宋体"/>
          <w:b w:val="0"/>
          <w:bCs/>
          <w:color w:val="000000" w:themeColor="text1"/>
          <w14:textFill>
            <w14:solidFill>
              <w14:schemeClr w14:val="tx1"/>
            </w14:solidFill>
          </w14:textFill>
        </w:rPr>
        <w:t>杂质</w:t>
      </w:r>
      <w:r>
        <w:rPr>
          <w:rFonts w:hint="eastAsia" w:ascii="宋体" w:hAnsi="宋体" w:eastAsia="宋体"/>
          <w:b w:val="0"/>
          <w:bCs/>
          <w:color w:val="000000" w:themeColor="text1"/>
          <w:lang w:eastAsia="zh-CN"/>
          <w14:textFill>
            <w14:solidFill>
              <w14:schemeClr w14:val="tx1"/>
            </w14:solidFill>
          </w14:textFill>
        </w:rPr>
        <w:t>：</w:t>
      </w:r>
      <w:r>
        <w:rPr>
          <w:rFonts w:hint="eastAsia" w:ascii="宋体" w:hAnsi="宋体" w:eastAsia="宋体"/>
          <w:b w:val="0"/>
          <w:bCs/>
          <w:color w:val="000000" w:themeColor="text1"/>
          <w14:textFill>
            <w14:solidFill>
              <w14:schemeClr w14:val="tx1"/>
            </w14:solidFill>
          </w14:textFill>
        </w:rPr>
        <w:t>正常视力无可见的外来异物。</w:t>
      </w:r>
    </w:p>
    <w:p w14:paraId="3032675C">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（三）大米</w:t>
      </w:r>
      <w:r>
        <w:rPr>
          <w:rFonts w:hint="eastAsia" w:ascii="宋体" w:hAnsi="宋体" w:eastAsia="宋体"/>
          <w:b w:val="0"/>
          <w:bCs/>
          <w:color w:val="000000" w:themeColor="text1"/>
          <w:lang w:val="en-US" w:eastAsia="en-US"/>
          <w14:textFill>
            <w14:solidFill>
              <w14:schemeClr w14:val="tx1"/>
            </w14:solidFill>
          </w14:textFill>
        </w:rPr>
        <w:t>、油、干货、调味</w:t>
      </w:r>
      <w:r>
        <w:rPr>
          <w:rFonts w:hint="eastAsia" w:ascii="宋体" w:hAnsi="宋体" w:eastAsia="宋体"/>
          <w:b w:val="0"/>
          <w:bCs/>
          <w:color w:val="000000" w:themeColor="text1"/>
          <w:lang w:val="en-US" w:eastAsia="zh-CN"/>
          <w14:textFill>
            <w14:solidFill>
              <w14:schemeClr w14:val="tx1"/>
            </w14:solidFill>
          </w14:textFill>
        </w:rPr>
        <w:t>及副食、零食类品质要求</w:t>
      </w:r>
    </w:p>
    <w:p w14:paraId="0B8774D9">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w:t>
      </w:r>
      <w:r>
        <w:rPr>
          <w:rFonts w:hint="eastAsia" w:ascii="宋体" w:hAnsi="宋体" w:eastAsia="宋体"/>
          <w:b w:val="0"/>
          <w:bCs/>
          <w:color w:val="000000" w:themeColor="text1"/>
          <w:lang w:val="en-US" w:eastAsia="en-US"/>
          <w14:textFill>
            <w14:solidFill>
              <w14:schemeClr w14:val="tx1"/>
            </w14:solidFill>
          </w14:textFill>
        </w:rPr>
        <w:t>有“SC”标志，标明加工厂名称、品名、生产日期、保质期和有效期，供货时的剩余保质期不少于三分之二，质量等级、产品标准号、产品合格证，质量符合大米国家标准（GB1354-2009）与国家粮食卫生标准（GB2715-2005）。</w:t>
      </w:r>
    </w:p>
    <w:p w14:paraId="5F6ED8F9">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2.</w:t>
      </w:r>
      <w:r>
        <w:rPr>
          <w:rFonts w:hint="eastAsia" w:ascii="宋体" w:hAnsi="宋体" w:eastAsia="宋体"/>
          <w:b w:val="0"/>
          <w:bCs/>
          <w:color w:val="000000" w:themeColor="text1"/>
          <w:lang w:val="en-US" w:eastAsia="en-US"/>
          <w14:textFill>
            <w14:solidFill>
              <w14:schemeClr w14:val="tx1"/>
            </w14:solidFill>
          </w14:textFill>
        </w:rPr>
        <w:t>具有固有色泽和香味，无污染、无虫害，色泽、气味、口味正常，无异味或霉味（霉变），无虫蛀结块挂丝或杂质异</w:t>
      </w:r>
      <w:r>
        <w:rPr>
          <w:rFonts w:hint="eastAsia" w:ascii="宋体" w:hAnsi="宋体" w:eastAsia="宋体"/>
          <w:b w:val="0"/>
          <w:bCs/>
          <w:color w:val="000000" w:themeColor="text1"/>
          <w:lang w:val="en-US" w:eastAsia="zh-CN"/>
          <w14:textFill>
            <w14:solidFill>
              <w14:schemeClr w14:val="tx1"/>
            </w14:solidFill>
          </w14:textFill>
        </w:rPr>
        <w:t>味</w:t>
      </w:r>
      <w:r>
        <w:rPr>
          <w:rFonts w:hint="eastAsia" w:ascii="宋体" w:hAnsi="宋体" w:eastAsia="宋体"/>
          <w:b w:val="0"/>
          <w:bCs/>
          <w:color w:val="000000" w:themeColor="text1"/>
          <w:lang w:val="en-US" w:eastAsia="en-US"/>
          <w14:textFill>
            <w14:solidFill>
              <w14:schemeClr w14:val="tx1"/>
            </w14:solidFill>
          </w14:textFill>
        </w:rPr>
        <w:t>等，符合国家粮食卫生标准。</w:t>
      </w:r>
    </w:p>
    <w:p w14:paraId="58817F5E">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3.</w:t>
      </w:r>
      <w:r>
        <w:rPr>
          <w:rFonts w:hint="eastAsia" w:ascii="宋体" w:hAnsi="宋体" w:eastAsia="宋体"/>
          <w:b w:val="0"/>
          <w:bCs/>
          <w:color w:val="000000" w:themeColor="text1"/>
          <w14:textFill>
            <w14:solidFill>
              <w14:schemeClr w14:val="tx1"/>
            </w14:solidFill>
          </w14:textFill>
        </w:rPr>
        <w:t>基本要求：外包装完好，有SC标志，标明厂址、厂名、重量、生产日期、保质期或保存期、执行标准，剩余保质期不少于三分之二，具有当批次产品合格证明。具有正常植物油的色泽、透明度、气味和滋味，无焦臭、酸败及其他异味。</w:t>
      </w:r>
    </w:p>
    <w:p w14:paraId="06BA5EEC">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4.</w:t>
      </w:r>
      <w:r>
        <w:rPr>
          <w:rFonts w:hint="eastAsia" w:ascii="宋体" w:hAnsi="宋体" w:eastAsia="宋体"/>
          <w:b w:val="0"/>
          <w:bCs/>
          <w:color w:val="000000" w:themeColor="text1"/>
          <w14:textFill>
            <w14:solidFill>
              <w14:schemeClr w14:val="tx1"/>
            </w14:solidFill>
          </w14:textFill>
        </w:rPr>
        <w:t>食用油生产企业的资质证明（首次供应时提供）：《企业法人营业执照》、《全国工业产品生产许可证》。</w:t>
      </w:r>
    </w:p>
    <w:p w14:paraId="6D3BFF3D">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5.</w:t>
      </w:r>
      <w:r>
        <w:rPr>
          <w:rFonts w:hint="eastAsia" w:ascii="宋体" w:hAnsi="宋体" w:eastAsia="宋体"/>
          <w:b w:val="0"/>
          <w:bCs/>
          <w:color w:val="000000" w:themeColor="text1"/>
          <w:lang w:eastAsia="zh-CN"/>
          <w14:textFill>
            <w14:solidFill>
              <w14:schemeClr w14:val="tx1"/>
            </w14:solidFill>
          </w14:textFill>
        </w:rPr>
        <w:t>要求包装密封口，不得提供散装油。</w:t>
      </w:r>
    </w:p>
    <w:p w14:paraId="0AA0EB77">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6.</w:t>
      </w:r>
      <w:r>
        <w:rPr>
          <w:rFonts w:hint="eastAsia" w:ascii="宋体" w:hAnsi="宋体" w:eastAsia="宋体"/>
          <w:b w:val="0"/>
          <w:bCs/>
          <w:color w:val="000000" w:themeColor="text1"/>
          <w14:textFill>
            <w14:solidFill>
              <w14:schemeClr w14:val="tx1"/>
            </w14:solidFill>
          </w14:textFill>
        </w:rPr>
        <w:t>气味、滋味：具有固有的气味和滋味，无异味；</w:t>
      </w:r>
    </w:p>
    <w:p w14:paraId="65424894">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7.</w:t>
      </w:r>
      <w:r>
        <w:rPr>
          <w:rFonts w:hint="eastAsia" w:ascii="宋体" w:hAnsi="宋体" w:eastAsia="宋体"/>
          <w:b w:val="0"/>
          <w:bCs/>
          <w:color w:val="000000" w:themeColor="text1"/>
          <w14:textFill>
            <w14:solidFill>
              <w14:schemeClr w14:val="tx1"/>
            </w14:solidFill>
          </w14:textFill>
        </w:rPr>
        <w:t>加热试验（280℃）油色不得变深，无析出物；</w:t>
      </w:r>
    </w:p>
    <w:p w14:paraId="783D3C9F">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8.</w:t>
      </w:r>
      <w:r>
        <w:rPr>
          <w:rFonts w:hint="eastAsia" w:ascii="宋体" w:hAnsi="宋体" w:eastAsia="宋体"/>
          <w:b w:val="0"/>
          <w:bCs/>
          <w:color w:val="000000" w:themeColor="text1"/>
          <w14:textFill>
            <w14:solidFill>
              <w14:schemeClr w14:val="tx1"/>
            </w14:solidFill>
          </w14:textFill>
        </w:rPr>
        <w:t>不得混有其他食用油或非食用油；</w:t>
      </w:r>
    </w:p>
    <w:p w14:paraId="1DD72AEF">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9.</w:t>
      </w:r>
      <w:r>
        <w:rPr>
          <w:rFonts w:hint="eastAsia" w:ascii="宋体" w:hAnsi="宋体" w:eastAsia="宋体"/>
          <w:b w:val="0"/>
          <w:bCs/>
          <w:color w:val="000000" w:themeColor="text1"/>
          <w:lang w:val="en-US" w:eastAsia="en-US"/>
          <w14:textFill>
            <w14:solidFill>
              <w14:schemeClr w14:val="tx1"/>
            </w14:solidFill>
          </w14:textFill>
        </w:rPr>
        <w:t>必须选用符合国家食品安全法规及相关国家标准的商品，选用无毒、无害、无污染、可朔源的食品。掺假、掺杂食品坚决不能使用。</w:t>
      </w:r>
    </w:p>
    <w:p w14:paraId="1B006F3C">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10.</w:t>
      </w:r>
      <w:r>
        <w:rPr>
          <w:rFonts w:hint="eastAsia" w:ascii="宋体" w:hAnsi="宋体" w:eastAsia="宋体"/>
          <w:b w:val="0"/>
          <w:bCs/>
          <w:color w:val="000000" w:themeColor="text1"/>
          <w:lang w:val="en-US" w:eastAsia="en-US"/>
          <w14:textFill>
            <w14:solidFill>
              <w14:schemeClr w14:val="tx1"/>
            </w14:solidFill>
          </w14:textFill>
        </w:rPr>
        <w:t>副食品等级标准要相符，其包装盒或标签上须注明食品名称、生产厂家、厂址、生产日期、食品的主要原料成份、食品保质期和QS/SC认证标志等信息，注明不详或没有注明的商品不予验收。</w:t>
      </w:r>
    </w:p>
    <w:p w14:paraId="43AEA90B">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11.</w:t>
      </w:r>
      <w:r>
        <w:rPr>
          <w:rFonts w:hint="eastAsia" w:ascii="宋体" w:hAnsi="宋体" w:eastAsia="宋体"/>
          <w:b w:val="0"/>
          <w:bCs/>
          <w:color w:val="000000" w:themeColor="text1"/>
          <w:lang w:val="en-US" w:eastAsia="en-US"/>
          <w14:textFill>
            <w14:solidFill>
              <w14:schemeClr w14:val="tx1"/>
            </w14:solidFill>
          </w14:textFill>
        </w:rPr>
        <w:t>副食品表面外观新鲜、完整，无霉变异味，无砂粒杂质，无虫尸鼠粪等不洁卫生问题。</w:t>
      </w:r>
    </w:p>
    <w:p w14:paraId="2056902C">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en-US"/>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12.</w:t>
      </w:r>
      <w:r>
        <w:rPr>
          <w:rFonts w:hint="eastAsia" w:ascii="宋体" w:hAnsi="宋体" w:eastAsia="宋体"/>
          <w:b w:val="0"/>
          <w:bCs/>
          <w:color w:val="000000" w:themeColor="text1"/>
          <w:lang w:val="en-US" w:eastAsia="en-US"/>
          <w14:textFill>
            <w14:solidFill>
              <w14:schemeClr w14:val="tx1"/>
            </w14:solidFill>
          </w14:textFill>
        </w:rPr>
        <w:t>须为正规厂家的产品，为一级以上的优质品，有生产厂家、生产日期和保质期。</w:t>
      </w:r>
    </w:p>
    <w:p w14:paraId="54023EFA">
      <w:pPr>
        <w:tabs>
          <w:tab w:val="left" w:pos="420"/>
        </w:tabs>
        <w:autoSpaceDE w:val="0"/>
        <w:autoSpaceDN w:val="0"/>
        <w:adjustRightInd w:val="0"/>
        <w:spacing w:line="360" w:lineRule="auto"/>
        <w:ind w:right="315" w:rightChars="150"/>
        <w:jc w:val="left"/>
        <w:rPr>
          <w:rFonts w:hint="eastAsia" w:ascii="宋体" w:hAnsi="宋体" w:eastAsia="宋体"/>
          <w:b w:val="0"/>
          <w:bCs/>
          <w:color w:val="000000" w:themeColor="text1"/>
          <w:lang w:val="en-US" w:eastAsia="zh-CN"/>
          <w14:textFill>
            <w14:solidFill>
              <w14:schemeClr w14:val="tx1"/>
            </w14:solidFill>
          </w14:textFill>
        </w:rPr>
      </w:pPr>
      <w:r>
        <w:rPr>
          <w:rFonts w:hint="eastAsia" w:ascii="宋体" w:hAnsi="宋体" w:eastAsia="宋体"/>
          <w:b w:val="0"/>
          <w:bCs/>
          <w:color w:val="000000" w:themeColor="text1"/>
          <w:lang w:val="en-US" w:eastAsia="zh-CN"/>
          <w14:textFill>
            <w14:solidFill>
              <w14:schemeClr w14:val="tx1"/>
            </w14:solidFill>
          </w14:textFill>
        </w:rPr>
        <w:t>13.所有</w:t>
      </w:r>
      <w:r>
        <w:rPr>
          <w:rFonts w:hint="eastAsia" w:ascii="宋体" w:hAnsi="宋体" w:eastAsia="宋体"/>
          <w:b w:val="0"/>
          <w:bCs/>
          <w:color w:val="000000" w:themeColor="text1"/>
          <w:lang w:val="en-US" w:eastAsia="en-US"/>
          <w14:textFill>
            <w14:solidFill>
              <w14:schemeClr w14:val="tx1"/>
            </w14:solidFill>
          </w14:textFill>
        </w:rPr>
        <w:t>副食品</w:t>
      </w:r>
      <w:r>
        <w:rPr>
          <w:rFonts w:hint="eastAsia" w:ascii="宋体" w:hAnsi="宋体" w:eastAsia="宋体"/>
          <w:b w:val="0"/>
          <w:bCs/>
          <w:color w:val="000000" w:themeColor="text1"/>
          <w:lang w:val="en-US" w:eastAsia="zh-CN"/>
          <w14:textFill>
            <w14:solidFill>
              <w14:schemeClr w14:val="tx1"/>
            </w14:solidFill>
          </w14:textFill>
        </w:rPr>
        <w:t>包装要求未开封包装，特殊商品经双方约定除外。</w:t>
      </w:r>
    </w:p>
    <w:p w14:paraId="057A0A8A">
      <w:pPr>
        <w:tabs>
          <w:tab w:val="left" w:pos="420"/>
        </w:tabs>
        <w:autoSpaceDE w:val="0"/>
        <w:autoSpaceDN w:val="0"/>
        <w:adjustRightInd w:val="0"/>
        <w:spacing w:line="360" w:lineRule="auto"/>
        <w:ind w:right="315" w:rightChars="150"/>
        <w:jc w:val="left"/>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四、价格要求</w:t>
      </w:r>
    </w:p>
    <w:p w14:paraId="16C3760C">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1.乙方所有供货定价须包含货物的购置、检验检疫费、质量检测费、包装、配送、运输、保险、装卸、退换、质保期售后服务、全额含税发票等合同实施过程中应预见和不可预见的费用。</w:t>
      </w:r>
    </w:p>
    <w:p w14:paraId="7F3C81C1">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2.甲方每月要组织价格调查小组( 3至5人)至少进行一次市场价格调查，填写食堂食材月价格市场调查表，要选择</w:t>
      </w:r>
      <w:r>
        <w:rPr>
          <w:rFonts w:hint="eastAsia" w:asciiTheme="minorEastAsia" w:hAnsiTheme="minorEastAsia" w:eastAsiaTheme="minorEastAsia" w:cstheme="minorEastAsia"/>
          <w:color w:val="auto"/>
          <w:sz w:val="21"/>
          <w:szCs w:val="21"/>
          <w:highlight w:val="none"/>
          <w:lang w:val="en-US" w:eastAsia="zh-CN"/>
        </w:rPr>
        <w:t>郁南县桂圩市场</w:t>
      </w:r>
      <w:r>
        <w:rPr>
          <w:rFonts w:hint="eastAsia" w:ascii="宋体" w:hAnsi="宋体" w:eastAsia="宋体"/>
          <w:color w:val="000000" w:themeColor="text1"/>
          <w:lang w:val="en-US" w:eastAsia="zh-CN"/>
          <w14:textFill>
            <w14:solidFill>
              <w14:schemeClr w14:val="tx1"/>
            </w14:solidFill>
          </w14:textFill>
        </w:rPr>
        <w:t>、都城镇都城市场、都城镇河堤市场三个肉菜市场对每种需要采购的食品材料进行询价。（1）供货基准单价确定：由甲方根据</w:t>
      </w:r>
      <w:r>
        <w:rPr>
          <w:rFonts w:hint="eastAsia" w:asciiTheme="minorEastAsia" w:hAnsiTheme="minorEastAsia" w:eastAsiaTheme="minorEastAsia" w:cstheme="minorEastAsia"/>
          <w:color w:val="auto"/>
          <w:sz w:val="21"/>
          <w:szCs w:val="21"/>
          <w:highlight w:val="none"/>
          <w:lang w:val="en-US" w:eastAsia="zh-CN"/>
        </w:rPr>
        <w:t>郁南县桂圩市场</w:t>
      </w:r>
      <w:r>
        <w:rPr>
          <w:rFonts w:hint="eastAsia" w:ascii="宋体" w:hAnsi="宋体" w:eastAsia="宋体"/>
          <w:color w:val="000000" w:themeColor="text1"/>
          <w:lang w:val="en-US" w:eastAsia="zh-CN"/>
          <w14:textFill>
            <w14:solidFill>
              <w14:schemeClr w14:val="tx1"/>
            </w14:solidFill>
          </w14:textFill>
        </w:rPr>
        <w:t>、都城镇都城市场、都城镇河堤市场三个市场相同品种的零售价格的平均价作为基准价，然后由甲方食堂物价小组会议决定各食品的采购价格。如临时新增采购原料或食品的（即不在当期供货基准单价内），按采购货款实际金额作为结算基准价。结算公式：各类食品材料结算价格=各类食品材料实际供货数量×各类食品材料基准价（一个月为周期）×（1-中标下浮率）。（2）定价周期：每月定一次供货价格。每月15日前由前由甲方按招标文件、合同规定确认供货基准单价发给乙方。定价周期内价格不作调整。</w:t>
      </w:r>
    </w:p>
    <w:p w14:paraId="7CAE73A1">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3.乙方提供的货物价格不得高于郁南县内的市场价格和云浮市菜篮子价格监测公布的食材同类价格，以县内三个市场零售价的平均价格为准，下浮10%或以上供应给甲方。</w:t>
      </w:r>
    </w:p>
    <w:p w14:paraId="291A82DB">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4.乙方必须负责中标货物的运输、搬运等工作，确保无二次运输污染，所产生的费用由乙方负责。</w:t>
      </w:r>
    </w:p>
    <w:p w14:paraId="5AB36D02">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乙方不得擅自变更投标货品（含商标、名称、产地、包装、规格和重量等），严格按甲方要求供应，否则，甲方有权拒收并要求中标方及时按甲方要求另外提供投标货品。如因市场流通问题确实需要变更的，应事先书面申请，并经甲方同意后方可改变。</w:t>
      </w:r>
    </w:p>
    <w:p w14:paraId="038D05DE">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6.乙方确定后，甲方将根据实际情况向成交供应商采购所需食材，但甲方不保证向成交供应商采购的具体数额。</w:t>
      </w:r>
    </w:p>
    <w:p w14:paraId="2B562163">
      <w:pPr>
        <w:spacing w:line="360" w:lineRule="auto"/>
        <w:ind w:firstLine="315" w:firstLineChars="1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乙方不得以低于成本的报价竞标；当评审小组认为乙方报价低于成本价时有权利要求其对成本构成进行介绍，并要求乙方用书面的形式进行低价说明；如乙方没有合理的理由或不按要求提供低价说明，评审小组有权作投标无效处理。</w:t>
      </w:r>
    </w:p>
    <w:p w14:paraId="0E4D0E42">
      <w:pPr>
        <w:tabs>
          <w:tab w:val="left" w:pos="420"/>
        </w:tabs>
        <w:autoSpaceDE w:val="0"/>
        <w:autoSpaceDN w:val="0"/>
        <w:adjustRightInd w:val="0"/>
        <w:spacing w:line="360" w:lineRule="auto"/>
        <w:ind w:right="315" w:rightChars="150"/>
        <w:jc w:val="left"/>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五、项目要求</w:t>
      </w:r>
    </w:p>
    <w:p w14:paraId="0F7D208C">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en-US"/>
          <w14:textFill>
            <w14:solidFill>
              <w14:schemeClr w14:val="tx1"/>
            </w14:solidFill>
          </w14:textFill>
        </w:rPr>
        <w:t>实际供货数量以</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每次提供的订单为准。</w:t>
      </w:r>
    </w:p>
    <w:p w14:paraId="4007C7B6">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2.乙方</w:t>
      </w:r>
      <w:r>
        <w:rPr>
          <w:rFonts w:hint="eastAsia" w:ascii="宋体" w:hAnsi="宋体" w:eastAsia="宋体"/>
          <w:color w:val="000000" w:themeColor="text1"/>
          <w:lang w:val="en-US" w:eastAsia="en-US"/>
          <w14:textFill>
            <w14:solidFill>
              <w14:schemeClr w14:val="tx1"/>
            </w14:solidFill>
          </w14:textFill>
        </w:rPr>
        <w:t>不得将中标项目转让或分包给他人，否则</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有权单方面终止合同</w: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en-US"/>
          <w14:textFill>
            <w14:solidFill>
              <w14:schemeClr w14:val="tx1"/>
            </w14:solidFill>
          </w14:textFill>
        </w:rPr>
        <w:t>由此产生的一切经济损失由</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自行承担。</w:t>
      </w:r>
    </w:p>
    <w:p w14:paraId="68A0DA3A">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3.甲方</w:t>
      </w:r>
      <w:r>
        <w:rPr>
          <w:rFonts w:hint="eastAsia" w:ascii="宋体" w:hAnsi="宋体" w:eastAsia="宋体"/>
          <w:color w:val="000000" w:themeColor="text1"/>
          <w:lang w:val="en-US" w:eastAsia="en-US"/>
          <w14:textFill>
            <w14:solidFill>
              <w14:schemeClr w14:val="tx1"/>
            </w14:solidFill>
          </w14:textFill>
        </w:rPr>
        <w:t>提前一天以电话或</w:t>
      </w:r>
      <w:r>
        <w:rPr>
          <w:rFonts w:hint="eastAsia" w:ascii="宋体" w:hAnsi="宋体" w:eastAsia="宋体"/>
          <w:color w:val="000000" w:themeColor="text1"/>
          <w:lang w:val="en-US" w:eastAsia="zh-CN"/>
          <w14:textFill>
            <w14:solidFill>
              <w14:schemeClr w14:val="tx1"/>
            </w14:solidFill>
          </w14:textFill>
        </w:rPr>
        <w:t>微信</w:t>
      </w:r>
      <w:r>
        <w:rPr>
          <w:rFonts w:hint="eastAsia" w:ascii="宋体" w:hAnsi="宋体" w:eastAsia="宋体"/>
          <w:color w:val="000000" w:themeColor="text1"/>
          <w:lang w:val="en-US" w:eastAsia="en-US"/>
          <w14:textFill>
            <w14:solidFill>
              <w14:schemeClr w14:val="tx1"/>
            </w14:solidFill>
          </w14:textFill>
        </w:rPr>
        <w:t>方式向</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下订单，订单内容包括名称、规格、数量等。</w:t>
      </w:r>
    </w:p>
    <w:p w14:paraId="4E55EE35">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4.乙方须在接到甲方订单之日的第二天，早上6：00前将所订购的食品送至甲方指定地点。遇紧急或特殊情况，甲方需临时增加订单的，须与乙方电话沟通及时送到完成配送。</w:t>
      </w:r>
    </w:p>
    <w:p w14:paraId="7178EB11">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5.乙方</w:t>
      </w:r>
      <w:r>
        <w:rPr>
          <w:rFonts w:hint="eastAsia" w:ascii="宋体" w:hAnsi="宋体" w:eastAsia="宋体"/>
          <w:color w:val="000000" w:themeColor="text1"/>
          <w:lang w:val="en-US" w:eastAsia="en-US"/>
          <w14:textFill>
            <w14:solidFill>
              <w14:schemeClr w14:val="tx1"/>
            </w14:solidFill>
          </w14:textFill>
        </w:rPr>
        <w:t>应当根据</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实际情况，按与</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的约定，在规定的时间内将预定的货物数量送到指定地点。除客观不可抗力外，</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不得推迟送货。如确需延迟送货的，</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应在得知情况的同时告知</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并征得</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同意，</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须承诺如中标后将准时送货到</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指定地点。如未能按要求准时送到指定地点</w: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en-US"/>
          <w14:textFill>
            <w14:solidFill>
              <w14:schemeClr w14:val="tx1"/>
            </w14:solidFill>
          </w14:textFill>
        </w:rPr>
        <w:t>所造成的损失由</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负责，并被处以当次供应食品货款3倍的罚款，罚款</w:t>
      </w:r>
      <w:r>
        <w:rPr>
          <w:rFonts w:hint="eastAsia" w:ascii="宋体" w:hAnsi="宋体" w:eastAsia="宋体"/>
          <w:color w:val="000000" w:themeColor="text1"/>
          <w:lang w:val="en-US" w:eastAsia="zh-CN"/>
          <w14:textFill>
            <w14:solidFill>
              <w14:schemeClr w14:val="tx1"/>
            </w14:solidFill>
          </w14:textFill>
        </w:rPr>
        <w:t>在</w:t>
      </w:r>
      <w:r>
        <w:rPr>
          <w:rFonts w:hint="eastAsia" w:ascii="宋体" w:hAnsi="宋体" w:eastAsia="宋体"/>
          <w:color w:val="000000" w:themeColor="text1"/>
          <w:lang w:val="en-US" w:eastAsia="en-US"/>
          <w14:textFill>
            <w14:solidFill>
              <w14:schemeClr w14:val="tx1"/>
            </w14:solidFill>
          </w14:textFill>
        </w:rPr>
        <w:t>供货结算款内扣除。（投标时提供承诺函）</w:t>
      </w:r>
    </w:p>
    <w:p w14:paraId="7B805DCF">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6.乙方必须具备食品品质检测仪器。</w:t>
      </w:r>
    </w:p>
    <w:p w14:paraId="04A0616A">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7.乙方</w:t>
      </w:r>
      <w:r>
        <w:rPr>
          <w:rFonts w:hint="eastAsia" w:ascii="宋体" w:hAnsi="宋体" w:eastAsia="宋体"/>
          <w:color w:val="000000" w:themeColor="text1"/>
          <w:lang w:val="en-US" w:eastAsia="en-US"/>
          <w14:textFill>
            <w14:solidFill>
              <w14:schemeClr w14:val="tx1"/>
            </w14:solidFill>
          </w14:textFill>
        </w:rPr>
        <w:t>需承诺所有的食材为非转基因产品。（投标时提供承诺函并加盖公章证明）。</w:t>
      </w:r>
    </w:p>
    <w:p w14:paraId="04704CA4">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8.</w:t>
      </w:r>
      <w:r>
        <w:rPr>
          <w:rFonts w:hint="eastAsia" w:ascii="宋体" w:hAnsi="宋体" w:eastAsia="宋体"/>
          <w:color w:val="000000" w:themeColor="text1"/>
          <w14:textFill>
            <w14:solidFill>
              <w14:schemeClr w14:val="tx1"/>
            </w14:solidFill>
          </w14:textFill>
        </w:rPr>
        <w:t>每天配送的食材</w:t>
      </w:r>
      <w:r>
        <w:rPr>
          <w:rFonts w:hint="eastAsia" w:ascii="宋体" w:hAnsi="宋体" w:eastAsia="宋体"/>
          <w:color w:val="000000" w:themeColor="text1"/>
          <w:lang w:val="en-US" w:eastAsia="zh-CN"/>
          <w14:textFill>
            <w14:solidFill>
              <w14:schemeClr w14:val="tx1"/>
            </w14:solidFill>
          </w14:textFill>
        </w:rPr>
        <w:t>和车辆</w:t>
      </w:r>
      <w:r>
        <w:rPr>
          <w:rFonts w:hint="eastAsia" w:ascii="宋体" w:hAnsi="宋体" w:eastAsia="宋体"/>
          <w:color w:val="000000" w:themeColor="text1"/>
          <w14:textFill>
            <w14:solidFill>
              <w14:schemeClr w14:val="tx1"/>
            </w14:solidFill>
          </w14:textFill>
        </w:rPr>
        <w:t>等必须确保安全、合格，若发生食品安全问题</w:t>
      </w:r>
      <w:r>
        <w:rPr>
          <w:rFonts w:hint="eastAsia" w:ascii="宋体" w:hAnsi="宋体" w:eastAsia="宋体"/>
          <w:color w:val="000000" w:themeColor="text1"/>
          <w:lang w:val="en-US" w:eastAsia="zh-CN"/>
          <w14:textFill>
            <w14:solidFill>
              <w14:schemeClr w14:val="tx1"/>
            </w14:solidFill>
          </w14:textFill>
        </w:rPr>
        <w:t>或交通安全问题</w:t>
      </w:r>
      <w:r>
        <w:rPr>
          <w:rFonts w:hint="eastAsia" w:ascii="宋体" w:hAnsi="宋体" w:eastAsia="宋体"/>
          <w:color w:val="000000" w:themeColor="text1"/>
          <w14:textFill>
            <w14:solidFill>
              <w14:schemeClr w14:val="tx1"/>
            </w14:solidFill>
          </w14:textFill>
        </w:rPr>
        <w:t>由</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负责全部责任（投标时提供承诺函并加盖公章证明）。</w:t>
      </w:r>
    </w:p>
    <w:p w14:paraId="7AF73901">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9.乙方</w:t>
      </w:r>
      <w:r>
        <w:rPr>
          <w:rFonts w:hint="eastAsia" w:ascii="宋体" w:hAnsi="宋体" w:eastAsia="宋体"/>
          <w:color w:val="000000" w:themeColor="text1"/>
          <w:lang w:val="en-US" w:eastAsia="en-US"/>
          <w14:textFill>
            <w14:solidFill>
              <w14:schemeClr w14:val="tx1"/>
            </w14:solidFill>
          </w14:textFill>
        </w:rPr>
        <w:t>应根据</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实际要求运送货物甚至进行免费简单加工（活禽类要经宰杀和清洗，蔬菜类要达到净菜上市标准）。</w:t>
      </w:r>
    </w:p>
    <w:p w14:paraId="3C422DEA">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10.</w:t>
      </w:r>
      <w:r>
        <w:rPr>
          <w:rFonts w:hint="eastAsia" w:ascii="宋体" w:hAnsi="宋体" w:eastAsia="宋体"/>
          <w:color w:val="000000" w:themeColor="text1"/>
          <w:lang w:val="en-US" w:eastAsia="en-US"/>
          <w14:textFill>
            <w14:solidFill>
              <w14:schemeClr w14:val="tx1"/>
            </w14:solidFill>
          </w14:textFill>
        </w:rPr>
        <w:t>每次送货，</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须委派一名专门负责人</w:t>
      </w:r>
      <w:r>
        <w:rPr>
          <w:rFonts w:hint="eastAsia" w:ascii="宋体" w:hAnsi="宋体" w:eastAsia="宋体"/>
          <w:color w:val="000000" w:themeColor="text1"/>
          <w:lang w:val="en-US" w:eastAsia="zh-CN"/>
          <w14:textFill>
            <w14:solidFill>
              <w14:schemeClr w14:val="tx1"/>
            </w14:solidFill>
          </w14:textFill>
        </w:rPr>
        <w:t>（乙方的送货人员必须持有有效期内的健康证）</w:t>
      </w:r>
      <w:r>
        <w:rPr>
          <w:rFonts w:hint="eastAsia" w:ascii="宋体" w:hAnsi="宋体" w:eastAsia="宋体"/>
          <w:color w:val="000000" w:themeColor="text1"/>
          <w:lang w:val="en-US" w:eastAsia="en-US"/>
          <w14:textFill>
            <w14:solidFill>
              <w14:schemeClr w14:val="tx1"/>
            </w14:solidFill>
          </w14:textFill>
        </w:rPr>
        <w:t>，负责货物的运输、过秤，并协助</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验收货品，货品的品种和重量以</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验收的结果为准。</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每次随货送上</w:t>
      </w:r>
      <w:r>
        <w:rPr>
          <w:rFonts w:hint="eastAsia" w:ascii="宋体" w:hAnsi="宋体" w:eastAsia="宋体"/>
          <w:color w:val="000000" w:themeColor="text1"/>
          <w:lang w:val="en-US" w:eastAsia="zh-CN"/>
          <w14:textFill>
            <w14:solidFill>
              <w14:schemeClr w14:val="tx1"/>
            </w14:solidFill>
          </w14:textFill>
        </w:rPr>
        <w:t>一式两份</w:t>
      </w:r>
      <w:r>
        <w:rPr>
          <w:rFonts w:hint="eastAsia" w:ascii="宋体" w:hAnsi="宋体" w:eastAsia="宋体"/>
          <w:color w:val="000000" w:themeColor="text1"/>
          <w:lang w:val="en-US" w:eastAsia="en-US"/>
          <w14:textFill>
            <w14:solidFill>
              <w14:schemeClr w14:val="tx1"/>
            </w14:solidFill>
          </w14:textFill>
        </w:rPr>
        <w:t>的送货清单，供双方验货后签字确认，双方各持一份，作为送、收货的凭证。</w:t>
      </w:r>
    </w:p>
    <w:p w14:paraId="0353160A">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11.配送早餐和熟食品的配送员必须要符合广东省学生集体配餐员的要求。早餐和熟食品配送车辆必须要符合广东省学生集体用餐配送车的卫生标准。</w:t>
      </w:r>
    </w:p>
    <w:p w14:paraId="6560FE9B">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12.乙方</w:t>
      </w:r>
      <w:r>
        <w:rPr>
          <w:rFonts w:hint="eastAsia" w:ascii="宋体" w:hAnsi="宋体" w:eastAsia="宋体"/>
          <w:color w:val="000000" w:themeColor="text1"/>
          <w:lang w:val="en-US" w:eastAsia="en-US"/>
          <w14:textFill>
            <w14:solidFill>
              <w14:schemeClr w14:val="tx1"/>
            </w14:solidFill>
          </w14:textFill>
        </w:rPr>
        <w:t>须严格按照</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的指令配送商品的数量，不得随意增减数量，否则，</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有权拒收。如因市场流通问题确实需要变更的，应事先书面申请，并经</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同意后方可改变。</w:t>
      </w:r>
    </w:p>
    <w:p w14:paraId="7F436DCD">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13.甲方</w:t>
      </w:r>
      <w:r>
        <w:rPr>
          <w:rFonts w:hint="eastAsia" w:ascii="宋体" w:hAnsi="宋体" w:eastAsia="宋体"/>
          <w:color w:val="000000" w:themeColor="text1"/>
          <w:lang w:val="en-US" w:eastAsia="en-US"/>
          <w14:textFill>
            <w14:solidFill>
              <w14:schemeClr w14:val="tx1"/>
            </w14:solidFill>
          </w14:textFill>
        </w:rPr>
        <w:t>发现采购货物因质量问题或</w:t>
      </w:r>
      <w:r>
        <w:rPr>
          <w:rFonts w:hint="eastAsia" w:ascii="宋体" w:hAnsi="宋体" w:eastAsia="宋体"/>
          <w:color w:val="000000" w:themeColor="text1"/>
          <w:lang w:val="en-US" w:eastAsia="zh-CN"/>
          <w14:textFill>
            <w14:solidFill>
              <w14:schemeClr w14:val="tx1"/>
            </w14:solidFill>
          </w14:textFill>
        </w:rPr>
        <w:t>货</w:t>
      </w:r>
      <w:r>
        <w:rPr>
          <w:rFonts w:hint="eastAsia" w:ascii="宋体" w:hAnsi="宋体" w:eastAsia="宋体"/>
          <w:color w:val="000000" w:themeColor="text1"/>
          <w:lang w:val="en-US" w:eastAsia="en-US"/>
          <w14:textFill>
            <w14:solidFill>
              <w14:schemeClr w14:val="tx1"/>
            </w14:solidFill>
          </w14:textFill>
        </w:rPr>
        <w:t>不对版而导致不能正常使用的，</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应无条件退换。</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未能履行用户需求书和合同所定事项，或供应不合格的、假冒伪劣、以次充好的商品，</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退货后将记录在案，并对</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予以处罚，扣罚当天货物因质量问题</w:t>
      </w:r>
      <w:r>
        <w:rPr>
          <w:rFonts w:hint="eastAsia" w:ascii="宋体" w:hAnsi="宋体" w:eastAsia="宋体"/>
          <w:color w:val="000000" w:themeColor="text1"/>
          <w:lang w:val="en-US" w:eastAsia="zh-CN"/>
          <w14:textFill>
            <w14:solidFill>
              <w14:schemeClr w14:val="tx1"/>
            </w14:solidFill>
          </w14:textFill>
        </w:rPr>
        <w:t>的</w:t>
      </w:r>
      <w:r>
        <w:rPr>
          <w:rFonts w:hint="eastAsia" w:ascii="宋体" w:hAnsi="宋体" w:eastAsia="宋体"/>
          <w:color w:val="000000" w:themeColor="text1"/>
          <w:lang w:val="en-US" w:eastAsia="en-US"/>
          <w14:textFill>
            <w14:solidFill>
              <w14:schemeClr w14:val="tx1"/>
            </w14:solidFill>
          </w14:textFill>
        </w:rPr>
        <w:t>货款全额。情节严重或多次出现前述问题的，</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有权终止采购合同。</w:t>
      </w:r>
    </w:p>
    <w:p w14:paraId="768C46E8">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14.乙方</w:t>
      </w:r>
      <w:r>
        <w:rPr>
          <w:rFonts w:hint="eastAsia" w:ascii="宋体" w:hAnsi="宋体" w:eastAsia="宋体"/>
          <w:color w:val="000000" w:themeColor="text1"/>
          <w:lang w:val="en-US" w:eastAsia="en-US"/>
          <w14:textFill>
            <w14:solidFill>
              <w14:schemeClr w14:val="tx1"/>
            </w14:solidFill>
          </w14:textFill>
        </w:rPr>
        <w:t>的送货单必须详细注明商品的品牌、型号、单价、数量、送货单不得涂改。标记不清的，</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将拒绝签收。结算期末</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还应提供送货清单供</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结算。</w:t>
      </w:r>
    </w:p>
    <w:p w14:paraId="5F5C0CE5">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15.乙方</w:t>
      </w:r>
      <w:r>
        <w:rPr>
          <w:rFonts w:hint="eastAsia" w:ascii="宋体" w:hAnsi="宋体" w:eastAsia="宋体"/>
          <w:color w:val="000000" w:themeColor="text1"/>
          <w:lang w:val="en-US" w:eastAsia="en-US"/>
          <w14:textFill>
            <w14:solidFill>
              <w14:schemeClr w14:val="tx1"/>
            </w14:solidFill>
          </w14:textFill>
        </w:rPr>
        <w:t>不得泄露</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的商业秘密。泄密造成</w:t>
      </w:r>
      <w:r>
        <w:rPr>
          <w:rFonts w:hint="eastAsia" w:ascii="宋体" w:hAnsi="宋体" w:eastAsia="宋体"/>
          <w:color w:val="000000" w:themeColor="text1"/>
          <w:lang w:val="en-US" w:eastAsia="zh-CN"/>
          <w14:textFill>
            <w14:solidFill>
              <w14:schemeClr w14:val="tx1"/>
            </w14:solidFill>
          </w14:textFill>
        </w:rPr>
        <w:t>甲方</w:t>
      </w:r>
      <w:r>
        <w:rPr>
          <w:rFonts w:hint="eastAsia" w:ascii="宋体" w:hAnsi="宋体" w:eastAsia="宋体"/>
          <w:color w:val="000000" w:themeColor="text1"/>
          <w:lang w:val="en-US" w:eastAsia="en-US"/>
          <w14:textFill>
            <w14:solidFill>
              <w14:schemeClr w14:val="tx1"/>
            </w14:solidFill>
          </w14:textFill>
        </w:rPr>
        <w:t>损失的，</w:t>
      </w:r>
      <w:r>
        <w:rPr>
          <w:rFonts w:hint="eastAsia" w:ascii="宋体" w:hAnsi="宋体" w:eastAsia="宋体"/>
          <w:color w:val="000000" w:themeColor="text1"/>
          <w:lang w:val="en-US" w:eastAsia="zh-CN"/>
          <w14:textFill>
            <w14:solidFill>
              <w14:schemeClr w14:val="tx1"/>
            </w14:solidFill>
          </w14:textFill>
        </w:rPr>
        <w:t>乙方</w:t>
      </w:r>
      <w:r>
        <w:rPr>
          <w:rFonts w:hint="eastAsia" w:ascii="宋体" w:hAnsi="宋体" w:eastAsia="宋体"/>
          <w:color w:val="000000" w:themeColor="text1"/>
          <w:lang w:val="en-US" w:eastAsia="en-US"/>
          <w14:textFill>
            <w14:solidFill>
              <w14:schemeClr w14:val="tx1"/>
            </w14:solidFill>
          </w14:textFill>
        </w:rPr>
        <w:t>将承担由此产生的一切损失和法律责任。</w:t>
      </w:r>
    </w:p>
    <w:p w14:paraId="3889FA29">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16.乙方必须购买食品安全责任保险。</w:t>
      </w:r>
    </w:p>
    <w:p w14:paraId="6A42017B">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17.甲方对应急食材有自主采购权，不受乙方和本项目制约。</w:t>
      </w:r>
    </w:p>
    <w:p w14:paraId="3BD5CEC2">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18.乙方应严格遵守《食品卫生法》和《动物检疫法》等相关规定，不得采购、加工和使用法律、法规和规章规定禁止经营或者不符合食品安全标准的食品、食品添加剂、食品相关产品。一经发现供应以下食品，除全部退货外，将取消供货单位的供货资格，供货单位并承担由此造成的经济责任和法律责任：</w:t>
      </w:r>
    </w:p>
    <w:p w14:paraId="5ABCFE51">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en-US"/>
          <w14:textFill>
            <w14:solidFill>
              <w14:schemeClr w14:val="tx1"/>
            </w14:solidFill>
          </w14:textFill>
        </w:rPr>
        <w:t xml:space="preserve"> 食材没有合法供货来源的；</w:t>
      </w:r>
    </w:p>
    <w:p w14:paraId="04FCB6FD">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en-US"/>
          <w14:textFill>
            <w14:solidFill>
              <w14:schemeClr w14:val="tx1"/>
            </w14:solidFill>
          </w14:textFill>
        </w:rPr>
        <w:t xml:space="preserve"> 腐败变质、油脂酸败、霉变、生虫、污秽不洁、混有异物或者其他感官性状异常，对人体健康有害的；</w:t>
      </w:r>
    </w:p>
    <w:p w14:paraId="73BD323A">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 xml:space="preserve">（3） </w:t>
      </w:r>
      <w:r>
        <w:rPr>
          <w:rFonts w:hint="eastAsia" w:ascii="宋体" w:hAnsi="宋体" w:eastAsia="宋体"/>
          <w:color w:val="000000" w:themeColor="text1"/>
          <w:lang w:val="en-US" w:eastAsia="en-US"/>
          <w14:textFill>
            <w14:solidFill>
              <w14:schemeClr w14:val="tx1"/>
            </w14:solidFill>
          </w14:textFill>
        </w:rPr>
        <w:t>含有毒、有害物质或者被有害物质污染，对人体健康有害的；</w:t>
      </w:r>
    </w:p>
    <w:p w14:paraId="0D0E8929">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lang w:val="en-US" w:eastAsia="en-US"/>
          <w14:textFill>
            <w14:solidFill>
              <w14:schemeClr w14:val="tx1"/>
            </w14:solidFill>
          </w14:textFill>
        </w:rPr>
        <w:t>含有致病性寄生虫、微生物或者微生物含量超过国家限定标准的；</w:t>
      </w:r>
    </w:p>
    <w:p w14:paraId="3E89C8E3">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lang w:val="en-US" w:eastAsia="en-US"/>
          <w14:textFill>
            <w14:solidFill>
              <w14:schemeClr w14:val="tx1"/>
            </w14:solidFill>
          </w14:textFill>
        </w:rPr>
        <w:t>未经动物检疫部门检疫、检验或者检疫、检验不合格的肉类及其制品；</w:t>
      </w:r>
    </w:p>
    <w:p w14:paraId="46556A70">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w:t>
      </w:r>
      <w:r>
        <w:rPr>
          <w:rFonts w:hint="eastAsia" w:ascii="宋体" w:hAnsi="宋体" w:eastAsia="宋体"/>
          <w:color w:val="000000" w:themeColor="text1"/>
          <w:lang w:val="en-US" w:eastAsia="en-US"/>
          <w14:textFill>
            <w14:solidFill>
              <w14:schemeClr w14:val="tx1"/>
            </w14:solidFill>
          </w14:textFill>
        </w:rPr>
        <w:t>病死、毒死或者死因不明的禽、蓄、兽等及其制品；</w:t>
      </w:r>
    </w:p>
    <w:p w14:paraId="6AEE1896">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 xml:space="preserve">（7） </w:t>
      </w:r>
      <w:r>
        <w:rPr>
          <w:rFonts w:hint="eastAsia" w:ascii="宋体" w:hAnsi="宋体" w:eastAsia="宋体"/>
          <w:color w:val="000000" w:themeColor="text1"/>
          <w:lang w:val="en-US" w:eastAsia="en-US"/>
          <w14:textFill>
            <w14:solidFill>
              <w14:schemeClr w14:val="tx1"/>
            </w14:solidFill>
          </w14:textFill>
        </w:rPr>
        <w:t>掺假、掺杂、伪造，影响营养、卫生的；</w:t>
      </w:r>
    </w:p>
    <w:p w14:paraId="0CD82ED3">
      <w:pPr>
        <w:spacing w:line="360" w:lineRule="auto"/>
        <w:ind w:firstLine="315" w:firstLineChars="150"/>
        <w:rPr>
          <w:rFonts w:hint="eastAsia" w:ascii="宋体" w:hAnsi="宋体" w:eastAsia="宋体"/>
          <w:color w:val="000000" w:themeColor="text1"/>
          <w:lang w:val="en-US" w:eastAsia="en-US"/>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（8）</w:t>
      </w:r>
      <w:r>
        <w:rPr>
          <w:rFonts w:hint="eastAsia" w:ascii="宋体" w:hAnsi="宋体" w:eastAsia="宋体"/>
          <w:color w:val="000000" w:themeColor="text1"/>
          <w:lang w:val="en-US" w:eastAsia="en-US"/>
          <w14:textFill>
            <w14:solidFill>
              <w14:schemeClr w14:val="tx1"/>
            </w14:solidFill>
          </w14:textFill>
        </w:rPr>
        <w:t xml:space="preserve"> 用非食品原料加工的，加入非食品用化学物质或者将非食品当作食品的；</w:t>
      </w:r>
    </w:p>
    <w:p w14:paraId="16131677">
      <w:pPr>
        <w:spacing w:line="360" w:lineRule="auto"/>
        <w:ind w:firstLine="315" w:firstLineChars="1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（9）</w:t>
      </w:r>
      <w:r>
        <w:rPr>
          <w:rFonts w:hint="eastAsia" w:ascii="宋体" w:hAnsi="宋体" w:eastAsia="宋体"/>
          <w:color w:val="000000" w:themeColor="text1"/>
          <w:lang w:val="en-US" w:eastAsia="en-US"/>
          <w14:textFill>
            <w14:solidFill>
              <w14:schemeClr w14:val="tx1"/>
            </w14:solidFill>
          </w14:textFill>
        </w:rPr>
        <w:t xml:space="preserve"> 超过保质期限的。</w:t>
      </w:r>
    </w:p>
    <w:p w14:paraId="5EFACE8B">
      <w:pPr>
        <w:tabs>
          <w:tab w:val="left" w:pos="420"/>
        </w:tabs>
        <w:autoSpaceDE w:val="0"/>
        <w:autoSpaceDN w:val="0"/>
        <w:adjustRightInd w:val="0"/>
        <w:spacing w:line="360" w:lineRule="auto"/>
        <w:ind w:right="315" w:rightChars="150"/>
        <w:jc w:val="left"/>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六、</w:t>
      </w:r>
      <w:r>
        <w:rPr>
          <w:rFonts w:hint="eastAsia" w:ascii="宋体" w:hAnsi="宋体" w:eastAsia="宋体"/>
          <w:b/>
          <w:color w:val="000000" w:themeColor="text1"/>
          <w:lang w:eastAsia="zh-CN"/>
          <w14:textFill>
            <w14:solidFill>
              <w14:schemeClr w14:val="tx1"/>
            </w14:solidFill>
          </w14:textFill>
        </w:rPr>
        <w:t>其他</w:t>
      </w:r>
      <w:r>
        <w:rPr>
          <w:rFonts w:hint="eastAsia" w:ascii="宋体" w:hAnsi="宋体" w:eastAsia="宋体"/>
          <w:b/>
          <w:color w:val="000000" w:themeColor="text1"/>
          <w14:textFill>
            <w14:solidFill>
              <w14:schemeClr w14:val="tx1"/>
            </w14:solidFill>
          </w14:textFill>
        </w:rPr>
        <w:t>要求</w:t>
      </w:r>
    </w:p>
    <w:p w14:paraId="4073F927">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（一）对乙方的管理要求</w:t>
      </w:r>
    </w:p>
    <w:p w14:paraId="088A9E2C">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14:textFill>
            <w14:solidFill>
              <w14:schemeClr w14:val="tx1"/>
            </w14:solidFill>
          </w14:textFill>
        </w:rPr>
        <w:t>必须依据国家有关法律法规要求建立健全各项管理制度，保证食品安全；有明确的食品安全责任人。</w:t>
      </w:r>
    </w:p>
    <w:p w14:paraId="7C5A97C4">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在接到通知后备齐货物，按时送抵交货地点。</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除不可抗力，不得因其他任何理由延迟送货。</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如遇特殊情况需推迟送货，应提前通知</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不能按时、按质、按量供货，导致</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无法正常供应伙食的，</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有权自行采购同等质量的货物，由此造成的经济损失和责任均由</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承担，并承担违约责任。</w:t>
      </w:r>
    </w:p>
    <w:p w14:paraId="6670B974">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应严格按招标要求（含品种、质量等）供应，不得变更</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品，否则，</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有权退货。</w:t>
      </w:r>
    </w:p>
    <w:p w14:paraId="6E9B518B">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14:textFill>
            <w14:solidFill>
              <w14:schemeClr w14:val="tx1"/>
            </w14:solidFill>
          </w14:textFill>
        </w:rPr>
        <w:t>食品溯源要求：食品供应链必须明确，所有食品的来源必须清晰，来源应当是受到地方政府部门监管的流通市场或具有相关资质的厂家生产，食品生产企业必须获得全国工业产品生产许可（QS/SC），生产食品的源头与</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要有固定的合法的供应关系。</w:t>
      </w:r>
    </w:p>
    <w:p w14:paraId="59E77CC7">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（二）食品质量的基本检查</w:t>
      </w:r>
    </w:p>
    <w:p w14:paraId="1B41D911">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应充分理解并认真遵循本</w:t>
      </w:r>
      <w:r>
        <w:rPr>
          <w:rFonts w:hint="eastAsia" w:ascii="宋体" w:hAnsi="宋体" w:eastAsia="宋体"/>
          <w:color w:val="000000" w:themeColor="text1"/>
          <w:lang w:eastAsia="zh-CN"/>
          <w14:textFill>
            <w14:solidFill>
              <w14:schemeClr w14:val="tx1"/>
            </w14:solidFill>
          </w14:textFill>
        </w:rPr>
        <w:t>用户需求书</w:t>
      </w:r>
      <w:r>
        <w:rPr>
          <w:rFonts w:hint="eastAsia" w:ascii="宋体" w:hAnsi="宋体" w:eastAsia="宋体"/>
          <w:color w:val="000000" w:themeColor="text1"/>
          <w14:textFill>
            <w14:solidFill>
              <w14:schemeClr w14:val="tx1"/>
            </w14:solidFill>
          </w14:textFill>
        </w:rPr>
        <w:t>的要求，所提供的货物必须是满足</w:t>
      </w:r>
      <w:r>
        <w:rPr>
          <w:rFonts w:hint="eastAsia" w:ascii="宋体" w:hAnsi="宋体" w:eastAsia="宋体"/>
          <w:color w:val="000000" w:themeColor="text1"/>
          <w:lang w:eastAsia="zh-CN"/>
          <w14:textFill>
            <w14:solidFill>
              <w14:schemeClr w14:val="tx1"/>
            </w14:solidFill>
          </w14:textFill>
        </w:rPr>
        <w:t>用户需求书</w:t>
      </w:r>
      <w:r>
        <w:rPr>
          <w:rFonts w:hint="eastAsia" w:ascii="宋体" w:hAnsi="宋体" w:eastAsia="宋体"/>
          <w:color w:val="000000" w:themeColor="text1"/>
          <w14:textFill>
            <w14:solidFill>
              <w14:schemeClr w14:val="tx1"/>
            </w14:solidFill>
          </w14:textFill>
        </w:rPr>
        <w:t>要求。保证合同货品均为正规生产的新鲜（冰鲜除外）、检验合格、无毒、诚实、无辐射、无侵权货品，符合国家有关质量、包装和保质标准，有使用有效期的货品，其剩余有效期不得少于标注有效期的80%。</w:t>
      </w:r>
    </w:p>
    <w:p w14:paraId="2F891EAD">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食品应清洁，并符合企业相关验收标准；食品应无损伤、腐烂现象，无寄生虫或已受虫害现象；对温度有要求的食品应确定食品的温度与包装上指示温度一致。</w:t>
      </w:r>
    </w:p>
    <w:p w14:paraId="76EC7BF4">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货物有包装的，货物的包装必须完整清洁（无损、无污、无皱）。冷冻食品没有曾经解冻痕迹或软化现象，包装呈干爽状态。</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有权拒收包装不整齐、已拆封的和重量与包装标明重量不相符的商品。</w:t>
      </w:r>
    </w:p>
    <w:p w14:paraId="3AFC08A3">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发现商品出现损坏（包括表面损坏），或出现水渍、串味、受潮等导致货物性质改变的，</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必须无条件退货或更换商品。</w:t>
      </w:r>
    </w:p>
    <w:p w14:paraId="25B2D0FB">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w:t>
      </w:r>
      <w:r>
        <w:rPr>
          <w:rFonts w:hint="eastAsia" w:ascii="宋体" w:hAnsi="宋体" w:eastAsia="宋体"/>
          <w:color w:val="000000" w:themeColor="text1"/>
          <w14:textFill>
            <w14:solidFill>
              <w14:schemeClr w14:val="tx1"/>
            </w14:solidFill>
          </w14:textFill>
        </w:rPr>
        <w:t>对食品检查如下：</w:t>
      </w:r>
    </w:p>
    <w:p w14:paraId="6C43E987">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供应的食品必须符合国家食品药品监督管理部门的有关法规要求或标准，如无标准，按行业规范。采购生产、经营证明文件齐备，明确食品来源，并具有检验合格证明。严禁采购有害、有毒、腐烂变质、酸败、霉变、生虫、污垢不洁、混有异物或其他感官性状异常的食品。禁止采购超过保质期限的食品。</w:t>
      </w:r>
    </w:p>
    <w:p w14:paraId="5CE67F91">
      <w:pPr>
        <w:spacing w:line="360" w:lineRule="auto"/>
        <w:ind w:firstLine="315" w:firstLineChars="15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）食品包装必须符合国家规范。采购的食品不得存放在有害、有毒的容器内。食品包装上必须使用原产地标识，应注明：制造商名称和厂址、食品名称和重（容）量、生产日期和保质期限以及规格和QS/SC 认证等。</w:t>
      </w:r>
    </w:p>
    <w:p w14:paraId="78622D35">
      <w:pPr>
        <w:spacing w:line="360" w:lineRule="auto"/>
        <w:ind w:firstLine="315" w:firstLineChars="15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lang w:eastAsia="zh-CN"/>
          <w14:textFill>
            <w14:solidFill>
              <w14:schemeClr w14:val="tx1"/>
            </w14:solidFill>
          </w14:textFill>
        </w:rPr>
        <w:t>）对不符合采购要求的食品由验收人员提出清退，退货前应实行留版备案，如双方对质量争议可送国家质监部门检测。对缺斤短两（或含水量超标）的应按实际重量扣减。</w:t>
      </w:r>
    </w:p>
    <w:p w14:paraId="2D9E661F">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应能够配合</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及时更新所提供的符合卫监部门的有效证明材料。如有效的营业执照、产品合格证、食品经营许可证等。</w:t>
      </w:r>
    </w:p>
    <w:p w14:paraId="13F58642">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提供假冒伪劣、过期、变质的、有毒食品的，一经发现，除按</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要求无条件退货或换货外，还将受到如下处罚：</w:t>
      </w:r>
    </w:p>
    <w:p w14:paraId="0AA92647">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提供假冒伪劣、过期、变质食品的，要求无条件退货或换货外，被处以当次供应食品货款</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倍的罚款，罚款由供货结算款内扣除。</w:t>
      </w:r>
    </w:p>
    <w:p w14:paraId="33C61821">
      <w:pPr>
        <w:spacing w:line="360" w:lineRule="auto"/>
        <w:ind w:firstLine="315" w:firstLineChars="15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乙方提供有毒食品的，造成食品安全事故的，经有关单位鉴定原因后，如确实为乙方提供之食品问题，乙方除需负担全数之医药费外，甲方有权终止合同，乙方同时承担相应的民事及刑事法律责任及放弃先诉抗辩权。</w:t>
      </w:r>
    </w:p>
    <w:p w14:paraId="284D37E7">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（三）食品验收要求</w:t>
      </w:r>
    </w:p>
    <w:p w14:paraId="2FF3A44F">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14:textFill>
            <w14:solidFill>
              <w14:schemeClr w14:val="tx1"/>
            </w14:solidFill>
          </w14:textFill>
        </w:rPr>
        <w:t>项目验收依次序对照执行标准：</w:t>
      </w:r>
    </w:p>
    <w:p w14:paraId="27E8D4F9">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符合中华人民共和国国家和履约地相关安全质量标准、行业技术规范标准；</w:t>
      </w:r>
    </w:p>
    <w:p w14:paraId="42A90A57">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符合</w:t>
      </w:r>
      <w:r>
        <w:rPr>
          <w:rFonts w:hint="eastAsia" w:ascii="宋体" w:hAnsi="宋体" w:eastAsia="宋体"/>
          <w:color w:val="000000" w:themeColor="text1"/>
          <w:lang w:eastAsia="zh-CN"/>
          <w14:textFill>
            <w14:solidFill>
              <w14:schemeClr w14:val="tx1"/>
            </w14:solidFill>
          </w14:textFill>
        </w:rPr>
        <w:t>用户需求书</w:t>
      </w:r>
      <w:r>
        <w:rPr>
          <w:rFonts w:hint="eastAsia" w:ascii="宋体" w:hAnsi="宋体" w:eastAsia="宋体"/>
          <w:color w:val="000000" w:themeColor="text1"/>
          <w14:textFill>
            <w14:solidFill>
              <w14:schemeClr w14:val="tx1"/>
            </w14:solidFill>
          </w14:textFill>
        </w:rPr>
        <w:t>和响应承诺中各方共同认可的各项要求；</w:t>
      </w:r>
    </w:p>
    <w:p w14:paraId="216C378D">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符合货物来源国官方颁布标准。</w:t>
      </w:r>
    </w:p>
    <w:p w14:paraId="1B9E8681">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上述各类标准与法规必须是有关官方机构最新发布的现行标准版本。</w:t>
      </w:r>
    </w:p>
    <w:p w14:paraId="1CD01853">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做好卸货前的检查。</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和</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双方的验收人员卸货前应对场地和验收设备做好准备，并对商品的外观质量进行初步了解。如发现食品有损坏情况等，应在相关单据上记录损坏情况，建议对损坏情况进行拍照存档。保证斤两的准确性，经</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的验货数量为准，</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每次随货送上一式两份的送货单，</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验货后签订确认，</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双方各持一份，作为收货、结算的凭证。</w:t>
      </w:r>
    </w:p>
    <w:p w14:paraId="15625452">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食品运输必须采用符合国家标准的外包装和运输工具，保持清洁和定期消毒，车厢内无不良气味、异味。冷藏、冷冻食品在运输过程中保持安全的冷藏、冷冻温度，冷冻食品没有曾经解冻痕迹或软化现象，包装呈干爽状态。食品应清洁，无损伤、腐烂现象，外包装完整，无寄生虫或已受虫害现象。</w:t>
      </w:r>
    </w:p>
    <w:p w14:paraId="0974DDD8">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14:textFill>
            <w14:solidFill>
              <w14:schemeClr w14:val="tx1"/>
            </w14:solidFill>
          </w14:textFill>
        </w:rPr>
        <w:t>采取现场验收的方式，验收人员应认真检查物资的质量，按索票—验证—抽查—过磅—入库的程序完成验收，</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可提供原件的留原件，原件只有一份而无法提供给</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的查验原件后索取复印件留存。</w:t>
      </w:r>
    </w:p>
    <w:p w14:paraId="2EED6338">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w:t>
      </w:r>
      <w:r>
        <w:rPr>
          <w:rFonts w:hint="eastAsia" w:ascii="宋体" w:hAnsi="宋体" w:eastAsia="宋体"/>
          <w:color w:val="000000" w:themeColor="text1"/>
          <w14:textFill>
            <w14:solidFill>
              <w14:schemeClr w14:val="tx1"/>
            </w14:solidFill>
          </w14:textFill>
        </w:rPr>
        <w:t>每批次每种货物均抽查验收。</w:t>
      </w:r>
    </w:p>
    <w:p w14:paraId="68258336">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w:t>
      </w:r>
      <w:r>
        <w:rPr>
          <w:rFonts w:hint="eastAsia" w:ascii="宋体" w:hAnsi="宋体" w:eastAsia="宋体"/>
          <w:color w:val="000000" w:themeColor="text1"/>
          <w14:textFill>
            <w14:solidFill>
              <w14:schemeClr w14:val="tx1"/>
            </w14:solidFill>
          </w14:textFill>
        </w:rPr>
        <w:t>按后附产品质量描述对货物质量进行抽查。</w:t>
      </w:r>
    </w:p>
    <w:p w14:paraId="2F3C6BBB">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w:t>
      </w:r>
      <w:r>
        <w:rPr>
          <w:rFonts w:hint="eastAsia" w:ascii="宋体" w:hAnsi="宋体" w:eastAsia="宋体"/>
          <w:color w:val="000000" w:themeColor="text1"/>
          <w14:textFill>
            <w14:solidFill>
              <w14:schemeClr w14:val="tx1"/>
            </w14:solidFill>
          </w14:textFill>
        </w:rPr>
        <w:t>抽查发现食品安全质量问题的处理：</w:t>
      </w:r>
    </w:p>
    <w:p w14:paraId="14D8A68E">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对危及人身安全的食品质量问题采取零容忍措施，一经发现，当日所送同批次产品全部退货，如发现腐败变质肉类等；</w:t>
      </w:r>
    </w:p>
    <w:p w14:paraId="562D6399">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若抽查未发现问题，而在加工食用前发现部分产品质量问题，应立即通知</w:t>
      </w:r>
      <w:r>
        <w:rPr>
          <w:rFonts w:hint="eastAsia" w:ascii="宋体" w:hAnsi="宋体" w:eastAsia="宋体"/>
          <w:color w:val="000000" w:themeColor="text1"/>
          <w:lang w:eastAsia="zh-CN"/>
          <w14:textFill>
            <w14:solidFill>
              <w14:schemeClr w14:val="tx1"/>
            </w14:solidFill>
          </w14:textFill>
        </w:rPr>
        <w:t>甲方食品安全</w:t>
      </w:r>
      <w:r>
        <w:rPr>
          <w:rFonts w:hint="eastAsia" w:ascii="宋体" w:hAnsi="宋体" w:eastAsia="宋体"/>
          <w:color w:val="000000" w:themeColor="text1"/>
          <w14:textFill>
            <w14:solidFill>
              <w14:schemeClr w14:val="tx1"/>
            </w14:solidFill>
          </w14:textFill>
        </w:rPr>
        <w:t>验收小组及</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，将问题产品退货处理。</w:t>
      </w:r>
    </w:p>
    <w:p w14:paraId="2CAC08B0">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8.动物产品</w:t>
      </w:r>
      <w:r>
        <w:rPr>
          <w:rFonts w:hint="eastAsia" w:ascii="宋体" w:hAnsi="宋体" w:eastAsia="宋体"/>
          <w:color w:val="000000" w:themeColor="text1"/>
          <w14:textFill>
            <w14:solidFill>
              <w14:schemeClr w14:val="tx1"/>
            </w14:solidFill>
          </w14:textFill>
        </w:rPr>
        <w:t>抽查发现资质证照不全问题的处理：</w:t>
      </w:r>
    </w:p>
    <w:p w14:paraId="56B52D4E">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整批产品无政府部门出具的动植物检疫合格证明的全部退货；</w:t>
      </w:r>
    </w:p>
    <w:p w14:paraId="153BA6F5">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抽查发现部分产品无政府部门出具的动植物检疫合格证明，加抽15%，两次抽查数50%以上没有动植物检疫合格证明的，全部退货；没有动植物检疫合格证明的，将无动植物检疫合格证明的货物退货；</w:t>
      </w:r>
    </w:p>
    <w:p w14:paraId="2A693A3A">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整批产品有省地市出具的动植物检疫合格证明，随箱产品合格证不齐全的，加抽15%，两次抽查数50%以上没有产品合格证的，全部退货；没有产品合格证明的，将无产品合格证明的货物退货。</w:t>
      </w:r>
    </w:p>
    <w:p w14:paraId="4C1BAE41">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货物的质量问题争议及解决办法：因货物的质量问题发生争议，由</w:t>
      </w:r>
      <w:r>
        <w:rPr>
          <w:rFonts w:hint="eastAsia" w:ascii="宋体" w:hAnsi="宋体" w:eastAsia="宋体"/>
          <w:color w:val="000000" w:themeColor="text1"/>
          <w:lang w:val="en-US" w:eastAsia="zh-CN"/>
          <w14:textFill>
            <w14:solidFill>
              <w14:schemeClr w14:val="tx1"/>
            </w14:solidFill>
          </w14:textFill>
        </w:rPr>
        <w:t>郁南县市场</w:t>
      </w:r>
      <w:r>
        <w:rPr>
          <w:rFonts w:hint="eastAsia" w:ascii="宋体" w:hAnsi="宋体" w:eastAsia="宋体"/>
          <w:color w:val="000000" w:themeColor="text1"/>
          <w14:textFill>
            <w14:solidFill>
              <w14:schemeClr w14:val="tx1"/>
            </w14:solidFill>
          </w14:textFill>
        </w:rPr>
        <w:t>监督</w:t>
      </w:r>
      <w:r>
        <w:rPr>
          <w:rFonts w:hint="eastAsia" w:ascii="宋体" w:hAnsi="宋体" w:eastAsia="宋体"/>
          <w:color w:val="000000" w:themeColor="text1"/>
          <w:lang w:val="en-US" w:eastAsia="zh-CN"/>
          <w14:textFill>
            <w14:solidFill>
              <w14:schemeClr w14:val="tx1"/>
            </w14:solidFill>
          </w14:textFill>
        </w:rPr>
        <w:t>管理</w:t>
      </w:r>
      <w:r>
        <w:rPr>
          <w:rFonts w:hint="eastAsia" w:ascii="宋体" w:hAnsi="宋体" w:eastAsia="宋体"/>
          <w:color w:val="000000" w:themeColor="text1"/>
          <w14:textFill>
            <w14:solidFill>
              <w14:schemeClr w14:val="tx1"/>
            </w14:solidFill>
          </w14:textFill>
        </w:rPr>
        <w:t>局或国家法定的质量鉴定相关单位进行质量鉴定。货物符合质量标准的，鉴定费由</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承担；货物不符合质量标准的，鉴定费由</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承担，并且</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有权追究</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的相关责任。</w:t>
      </w:r>
    </w:p>
    <w:p w14:paraId="0FAEA798">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（四）售后服务要求</w:t>
      </w:r>
    </w:p>
    <w:p w14:paraId="35A0E55C">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需制定好食品配送售后服务方案，以确保退（补）货作业在需要时能够及时完成。</w:t>
      </w:r>
    </w:p>
    <w:p w14:paraId="6B8495A1">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如</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需要临时增加补货，</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必须</w:t>
      </w:r>
      <w:r>
        <w:rPr>
          <w:rFonts w:hint="eastAsia" w:ascii="宋体" w:hAnsi="宋体" w:eastAsia="宋体"/>
          <w:color w:val="000000" w:themeColor="text1"/>
          <w:lang w:eastAsia="zh-CN"/>
          <w14:textFill>
            <w14:solidFill>
              <w14:schemeClr w14:val="tx1"/>
            </w14:solidFill>
          </w14:textFill>
        </w:rPr>
        <w:t>在甲方</w:t>
      </w:r>
      <w:r>
        <w:rPr>
          <w:rFonts w:hint="eastAsia" w:ascii="宋体" w:hAnsi="宋体" w:eastAsia="宋体"/>
          <w:color w:val="000000" w:themeColor="text1"/>
          <w14:textFill>
            <w14:solidFill>
              <w14:schemeClr w14:val="tx1"/>
            </w14:solidFill>
          </w14:textFill>
        </w:rPr>
        <w:t>规定时间内将货物保质保量送到</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指定地点。</w:t>
      </w:r>
    </w:p>
    <w:p w14:paraId="3B3D7F53">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对不符合质量要求的食品由</w:t>
      </w:r>
      <w:r>
        <w:rPr>
          <w:rFonts w:hint="eastAsia" w:ascii="宋体" w:hAnsi="宋体" w:eastAsia="宋体"/>
          <w:color w:val="000000" w:themeColor="text1"/>
          <w:lang w:eastAsia="zh-CN"/>
          <w14:textFill>
            <w14:solidFill>
              <w14:schemeClr w14:val="tx1"/>
            </w14:solidFill>
          </w14:textFill>
        </w:rPr>
        <w:t>甲方安排</w:t>
      </w:r>
      <w:r>
        <w:rPr>
          <w:rFonts w:hint="eastAsia" w:ascii="宋体" w:hAnsi="宋体" w:eastAsia="宋体"/>
          <w:color w:val="000000" w:themeColor="text1"/>
          <w14:textFill>
            <w14:solidFill>
              <w14:schemeClr w14:val="tx1"/>
            </w14:solidFill>
          </w14:textFill>
        </w:rPr>
        <w:t>验收人员提出清退，如双方对质量或重量有争议的可送具有检验资质的部门检测，同时留样备检，对数量不足或部分退货的，责成</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以不影响食堂供应为前提尽快补送。在退货过程中，对有碍公共卫生安全的食品，应按国家有关规定处理或进行协议销毁，不退货给</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w:t>
      </w:r>
    </w:p>
    <w:p w14:paraId="37842244">
      <w:pPr>
        <w:spacing w:line="360" w:lineRule="auto"/>
        <w:ind w:firstLine="315" w:firstLineChars="15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（五）违约及安全事故处理措施</w:t>
      </w:r>
    </w:p>
    <w:p w14:paraId="53642EF3">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14:textFill>
            <w14:solidFill>
              <w14:schemeClr w14:val="tx1"/>
            </w14:solidFill>
          </w14:textFill>
        </w:rPr>
        <w:t>对供货期间出现下列情况之一的，</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有权无条件单方面终止合同：</w:t>
      </w:r>
    </w:p>
    <w:p w14:paraId="77E02FA0">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因配送原材料问题，发生师生食物中毒等食材安全责任事故，且造成严重后果的</w:t>
      </w:r>
      <w:r>
        <w:rPr>
          <w:rFonts w:hint="eastAsia" w:ascii="宋体" w:hAnsi="宋体" w:eastAsia="宋体"/>
          <w:color w:val="000000" w:themeColor="text1"/>
          <w:lang w:eastAsia="zh-CN"/>
          <w14:textFill>
            <w14:solidFill>
              <w14:schemeClr w14:val="tx1"/>
            </w14:solidFill>
          </w14:textFill>
        </w:rPr>
        <w:t>一切责任由乙方负责</w:t>
      </w:r>
      <w:r>
        <w:rPr>
          <w:rFonts w:hint="eastAsia" w:ascii="宋体" w:hAnsi="宋体" w:eastAsia="宋体"/>
          <w:color w:val="000000" w:themeColor="text1"/>
          <w14:textFill>
            <w14:solidFill>
              <w14:schemeClr w14:val="tx1"/>
            </w14:solidFill>
          </w14:textFill>
        </w:rPr>
        <w:t>。</w:t>
      </w:r>
    </w:p>
    <w:p w14:paraId="78D82245">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在原材料配送过程中，存在掺杂作假，销售劣质、有害过期或无证食品等违规行为，经学校规劝，或经教育主管部门、食品药品监督管理部门要求整改依然无效的。</w:t>
      </w:r>
    </w:p>
    <w:p w14:paraId="76D9790E">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在经营过程中，存在转包、分包</w:t>
      </w:r>
      <w:r>
        <w:rPr>
          <w:rFonts w:hint="eastAsia" w:ascii="宋体" w:hAnsi="宋体" w:eastAsia="宋体"/>
          <w:color w:val="000000" w:themeColor="text1"/>
          <w:lang w:eastAsia="zh-CN"/>
          <w14:textFill>
            <w14:solidFill>
              <w14:schemeClr w14:val="tx1"/>
            </w14:solidFill>
          </w14:textFill>
        </w:rPr>
        <w:t>等</w:t>
      </w:r>
      <w:r>
        <w:rPr>
          <w:rFonts w:hint="eastAsia" w:ascii="宋体" w:hAnsi="宋体" w:eastAsia="宋体"/>
          <w:color w:val="000000" w:themeColor="text1"/>
          <w14:textFill>
            <w14:solidFill>
              <w14:schemeClr w14:val="tx1"/>
            </w14:solidFill>
          </w14:textFill>
        </w:rPr>
        <w:t>经营行为的。</w:t>
      </w:r>
    </w:p>
    <w:p w14:paraId="4CB8134F">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在招投标时以弄虚作假等欺诈手段获得准入资格的，或经营情况发生变化已不符合准入条件而又不改变的。</w:t>
      </w:r>
    </w:p>
    <w:p w14:paraId="40084ED5">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5</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配送的食材已过保质期或保存期。</w:t>
      </w:r>
    </w:p>
    <w:p w14:paraId="015E2E6C">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如在食品药品监督管理部门抽检</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过程中，发现</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提供不符合国家食品安全标准的产品或食品，一切责任由</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负责。</w:t>
      </w:r>
    </w:p>
    <w:p w14:paraId="0E1A1CD0">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六</w:t>
      </w:r>
      <w:r>
        <w:rPr>
          <w:rFonts w:hint="eastAsia" w:ascii="宋体" w:hAnsi="宋体" w:eastAsia="宋体"/>
          <w:color w:val="000000" w:themeColor="text1"/>
          <w:lang w:eastAsia="zh-CN"/>
          <w14:textFill>
            <w14:solidFill>
              <w14:schemeClr w14:val="tx1"/>
            </w14:solidFill>
          </w14:textFill>
        </w:rPr>
        <w:t>）其他情形</w:t>
      </w:r>
    </w:p>
    <w:p w14:paraId="77EF6900">
      <w:pPr>
        <w:spacing w:line="360" w:lineRule="auto"/>
        <w:ind w:firstLine="315" w:firstLineChars="1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如遇国家或者学校政策调整，甲方不能继续执行本合作，则不视为甲方违约。</w:t>
      </w:r>
    </w:p>
    <w:p w14:paraId="668D4E17">
      <w:pPr>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七、</w:t>
      </w:r>
      <w:r>
        <w:rPr>
          <w:rFonts w:hint="eastAsia" w:ascii="宋体" w:hAnsi="宋体" w:eastAsia="宋体" w:cs="仿宋_GB2312"/>
          <w:b/>
          <w:bCs/>
          <w:color w:val="000000" w:themeColor="text1"/>
          <w:szCs w:val="21"/>
          <w:lang w:val="en-US" w:eastAsia="zh-CN"/>
          <w14:textFill>
            <w14:solidFill>
              <w14:schemeClr w14:val="tx1"/>
            </w14:solidFill>
          </w14:textFill>
        </w:rPr>
        <w:t>考核办法及退出机制</w:t>
      </w:r>
    </w:p>
    <w:p w14:paraId="313F1F97">
      <w:pPr>
        <w:snapToGrid w:val="0"/>
        <w:spacing w:line="360" w:lineRule="auto"/>
        <w:ind w:firstLine="420" w:firstLineChars="200"/>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1、考核小组：</w:t>
      </w:r>
      <w:r>
        <w:rPr>
          <w:rFonts w:hint="eastAsia" w:ascii="宋体" w:hAnsi="宋体" w:eastAsia="宋体"/>
          <w:lang w:eastAsia="zh-CN"/>
        </w:rPr>
        <w:t>郁南县桂圩镇初级中学</w:t>
      </w:r>
      <w:r>
        <w:rPr>
          <w:rFonts w:hint="eastAsia" w:ascii="宋体" w:hAnsi="宋体" w:eastAsia="宋体" w:cs="仿宋_GB2312"/>
          <w:b w:val="0"/>
          <w:bCs w:val="0"/>
          <w:color w:val="000000" w:themeColor="text1"/>
          <w:szCs w:val="21"/>
          <w:lang w:val="en-US" w:eastAsia="zh-CN"/>
          <w14:textFill>
            <w14:solidFill>
              <w14:schemeClr w14:val="tx1"/>
            </w14:solidFill>
          </w14:textFill>
        </w:rPr>
        <w:t>食堂管理小组。</w:t>
      </w:r>
    </w:p>
    <w:p w14:paraId="77926595">
      <w:pPr>
        <w:snapToGrid w:val="0"/>
        <w:spacing w:line="360" w:lineRule="auto"/>
        <w:ind w:firstLine="420" w:firstLineChars="200"/>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2、考核时间安排：每日考核。</w:t>
      </w:r>
    </w:p>
    <w:p w14:paraId="4125B4D6">
      <w:pPr>
        <w:snapToGrid w:val="0"/>
        <w:spacing w:line="360" w:lineRule="auto"/>
        <w:ind w:firstLine="420" w:firstLineChars="200"/>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3、考核方式：</w:t>
      </w:r>
      <w:r>
        <w:rPr>
          <w:rFonts w:hint="eastAsia" w:ascii="宋体" w:hAnsi="宋体" w:eastAsia="宋体"/>
          <w:lang w:eastAsia="zh-CN"/>
        </w:rPr>
        <w:t>郁南县桂圩镇初级中学</w:t>
      </w:r>
      <w:r>
        <w:rPr>
          <w:rFonts w:hint="eastAsia" w:ascii="宋体" w:hAnsi="宋体" w:eastAsia="宋体" w:cs="仿宋_GB2312"/>
          <w:b w:val="0"/>
          <w:bCs w:val="0"/>
          <w:color w:val="000000" w:themeColor="text1"/>
          <w:szCs w:val="21"/>
          <w:lang w:val="en-US" w:eastAsia="zh-CN"/>
          <w14:textFill>
            <w14:solidFill>
              <w14:schemeClr w14:val="tx1"/>
            </w14:solidFill>
          </w14:textFill>
        </w:rPr>
        <w:t>食堂管理小组每天对配送的各类食品材料进行随机抽取检测，检测食品材料是否符合国家及地方相关食品质量标准。</w:t>
      </w:r>
    </w:p>
    <w:p w14:paraId="5D008EF5">
      <w:pPr>
        <w:snapToGrid w:val="0"/>
        <w:spacing w:line="360" w:lineRule="auto"/>
        <w:ind w:firstLine="420" w:firstLineChars="200"/>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 xml:space="preserve">4、评定结果：中标人在一个月内所承包标段的粮油类2次、肉类2次、蔬菜类3次、副食、配料类2次、早餐类2次抽检不达标的。采购人启动退出机制，对不达标的标段中标人进行终止合作，无条件取消合同。供应商出现以下情形的，采购人有权终止合同： </w:t>
      </w:r>
    </w:p>
    <w:p w14:paraId="464D9D60">
      <w:pPr>
        <w:snapToGrid w:val="0"/>
        <w:spacing w:line="360" w:lineRule="auto"/>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1）食品经营许可证超过有效期的；</w:t>
      </w:r>
    </w:p>
    <w:p w14:paraId="509A16C6">
      <w:pPr>
        <w:snapToGrid w:val="0"/>
        <w:spacing w:line="360" w:lineRule="auto"/>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 xml:space="preserve">2）发生较大或以上安全事故的； </w:t>
      </w:r>
    </w:p>
    <w:p w14:paraId="0374F6DB">
      <w:pPr>
        <w:snapToGrid w:val="0"/>
        <w:spacing w:line="360" w:lineRule="auto"/>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3）因食品安全问题引发较大或以上舆情事件的；</w:t>
      </w:r>
    </w:p>
    <w:p w14:paraId="667DB953">
      <w:pPr>
        <w:snapToGrid w:val="0"/>
        <w:spacing w:line="360" w:lineRule="auto"/>
        <w:rPr>
          <w:rFonts w:hint="eastAsia" w:ascii="宋体" w:hAnsi="宋体" w:eastAsia="宋体" w:cs="仿宋_GB2312"/>
          <w:b w:val="0"/>
          <w:bCs w:val="0"/>
          <w:color w:val="000000" w:themeColor="text1"/>
          <w:szCs w:val="21"/>
          <w:lang w:val="en-US" w:eastAsia="zh-CN"/>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 xml:space="preserve">4）因违反《食品安全法》及其实施条例、《学校食品安全与营养健康管理规定》等法律法规、一年内收到1次或以上行政处罚的； </w:t>
      </w:r>
    </w:p>
    <w:p w14:paraId="56ACDF3C">
      <w:pPr>
        <w:tabs>
          <w:tab w:val="left" w:pos="420"/>
        </w:tabs>
        <w:autoSpaceDE w:val="0"/>
        <w:autoSpaceDN w:val="0"/>
        <w:adjustRightInd w:val="0"/>
        <w:spacing w:line="360" w:lineRule="auto"/>
        <w:ind w:right="315" w:rightChars="150"/>
        <w:jc w:val="left"/>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仿宋_GB2312"/>
          <w:b w:val="0"/>
          <w:bCs w:val="0"/>
          <w:color w:val="000000" w:themeColor="text1"/>
          <w:szCs w:val="21"/>
          <w:lang w:val="en-US" w:eastAsia="zh-CN"/>
          <w14:textFill>
            <w14:solidFill>
              <w14:schemeClr w14:val="tx1"/>
            </w14:solidFill>
          </w14:textFill>
        </w:rPr>
        <w:t>5）因存在重大食品安全隐患收到市场监督部门或教育部门（人力资源社会保障）通报的。</w:t>
      </w:r>
    </w:p>
    <w:p w14:paraId="4E5F4D53">
      <w:pPr>
        <w:tabs>
          <w:tab w:val="left" w:pos="420"/>
        </w:tabs>
        <w:autoSpaceDE w:val="0"/>
        <w:autoSpaceDN w:val="0"/>
        <w:adjustRightInd w:val="0"/>
        <w:spacing w:line="360" w:lineRule="auto"/>
        <w:ind w:right="315" w:rightChars="150"/>
        <w:jc w:val="left"/>
        <w:rPr>
          <w:rFonts w:ascii="宋体" w:hAnsi="宋体" w:eastAsia="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八、付款方式</w:t>
      </w:r>
    </w:p>
    <w:p w14:paraId="46DFD904">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货款按月度进行结算。在办理付款手续之前双方须对供应货物的品种、数量、单价、金额等进行统计，并核实无误。具体结算金额按：各类食品材料结算价格=各类食品材料实际供货数量×各类食品材料基准价（一个月为周期）×（1-中标下浮率）。</w:t>
      </w:r>
    </w:p>
    <w:p w14:paraId="4DB0C8F8">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凭以下有效文件与</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结算：</w:t>
      </w:r>
    </w:p>
    <w:p w14:paraId="65C94D48">
      <w:pPr>
        <w:spacing w:line="360" w:lineRule="auto"/>
        <w:ind w:firstLine="315" w:firstLineChars="1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（1） </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开具的正式发票，税费由</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 xml:space="preserve">支付。收款方、出具发票方、合同乙方均必须与中标供应商名称一致。 </w:t>
      </w:r>
    </w:p>
    <w:p w14:paraId="6135EB7E">
      <w:pPr>
        <w:spacing w:line="360" w:lineRule="auto"/>
        <w:ind w:firstLine="315" w:firstLineChars="1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甲方</w:t>
      </w:r>
      <w:r>
        <w:rPr>
          <w:rFonts w:hint="eastAsia" w:ascii="宋体" w:hAnsi="宋体" w:eastAsia="宋体"/>
          <w:color w:val="000000" w:themeColor="text1"/>
          <w14:textFill>
            <w14:solidFill>
              <w14:schemeClr w14:val="tx1"/>
            </w14:solidFill>
          </w14:textFill>
        </w:rPr>
        <w:t>收到中标供应商有效等额发票后，15日内支付货款给</w:t>
      </w:r>
      <w:r>
        <w:rPr>
          <w:rFonts w:hint="eastAsia" w:ascii="宋体" w:hAnsi="宋体" w:eastAsia="宋体"/>
          <w:color w:val="000000" w:themeColor="text1"/>
          <w:lang w:eastAsia="zh-CN"/>
          <w14:textFill>
            <w14:solidFill>
              <w14:schemeClr w14:val="tx1"/>
            </w14:solidFill>
          </w14:textFill>
        </w:rPr>
        <w:t>乙方</w:t>
      </w:r>
      <w:r>
        <w:rPr>
          <w:rFonts w:hint="eastAsia" w:ascii="宋体" w:hAnsi="宋体" w:eastAsia="宋体"/>
          <w:color w:val="000000" w:themeColor="text1"/>
          <w14:textFill>
            <w14:solidFill>
              <w14:schemeClr w14:val="tx1"/>
            </w14:solidFill>
          </w14:textFill>
        </w:rPr>
        <w:t>。</w:t>
      </w:r>
    </w:p>
    <w:p w14:paraId="680FA9F2">
      <w:pPr>
        <w:tabs>
          <w:tab w:val="left" w:pos="420"/>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lang w:eastAsia="zh-CN"/>
          <w14:textFill>
            <w14:solidFill>
              <w14:schemeClr w14:val="tx1"/>
            </w14:solidFill>
          </w14:textFill>
        </w:rPr>
        <w:t>九</w:t>
      </w:r>
      <w:r>
        <w:rPr>
          <w:rFonts w:hint="eastAsia" w:ascii="宋体" w:hAnsi="宋体" w:eastAsia="宋体"/>
          <w:b/>
          <w:color w:val="000000" w:themeColor="text1"/>
          <w:szCs w:val="21"/>
          <w14:textFill>
            <w14:solidFill>
              <w14:schemeClr w14:val="tx1"/>
            </w14:solidFill>
          </w14:textFill>
        </w:rPr>
        <w:t>、违约责任与赔偿损失</w:t>
      </w:r>
    </w:p>
    <w:p w14:paraId="24FE498C">
      <w:pPr>
        <w:tabs>
          <w:tab w:val="left" w:pos="900"/>
        </w:tabs>
        <w:spacing w:line="360" w:lineRule="auto"/>
        <w:ind w:left="420" w:leftChars="200" w:right="315" w:rightChars="150" w:firstLine="105" w:firstLineChars="5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1）乙方提供的服务不符合竞争性磋商文件、响应文件或本合同规定的，甲方有权拒收，并且乙</w:t>
      </w:r>
    </w:p>
    <w:p w14:paraId="4246CE6F">
      <w:pPr>
        <w:tabs>
          <w:tab w:val="left" w:pos="900"/>
        </w:tabs>
        <w:spacing w:line="360" w:lineRule="auto"/>
        <w:ind w:right="315" w:right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方须向甲方方支付本合同总价</w:t>
      </w: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%的违约金。</w:t>
      </w:r>
    </w:p>
    <w:p w14:paraId="7AB263F8">
      <w:pPr>
        <w:tabs>
          <w:tab w:val="left" w:pos="720"/>
          <w:tab w:val="left" w:pos="900"/>
        </w:tabs>
        <w:spacing w:line="360" w:lineRule="auto"/>
        <w:ind w:left="420" w:leftChars="200" w:right="315" w:rightChars="150"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2）乙方未能按本合同规定的交货时间交付货物的/提供服务，从逾期之日起每日按本合同总价</w:t>
      </w:r>
    </w:p>
    <w:p w14:paraId="25FE0BCC">
      <w:pPr>
        <w:tabs>
          <w:tab w:val="left" w:pos="720"/>
          <w:tab w:val="left" w:pos="900"/>
        </w:tabs>
        <w:spacing w:line="360" w:lineRule="auto"/>
        <w:ind w:right="315" w:right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‰的数额向甲方支付违约金；逾期15天以上（含15天）的，甲方有权终止合同，要求乙方支付违约金，并且给甲方造成的经济损失由乙方承担赔偿责任。</w:t>
      </w:r>
    </w:p>
    <w:p w14:paraId="0011E6F3">
      <w:pPr>
        <w:spacing w:line="360" w:lineRule="auto"/>
        <w:ind w:left="420" w:leftChars="200" w:right="315" w:rightChars="150"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3）甲方无正当理由拒收接受服务，到期拒付服务款项的，甲方向乙方偿付本合同总价</w:t>
      </w: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%的违</w:t>
      </w:r>
    </w:p>
    <w:p w14:paraId="49ED0C9B">
      <w:pPr>
        <w:spacing w:line="360" w:lineRule="auto"/>
        <w:ind w:right="315" w:right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约金。甲方逾期付款，则每日按本合同总价的</w:t>
      </w: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‰向乙方偿付违约金。</w:t>
      </w:r>
    </w:p>
    <w:p w14:paraId="430974EE">
      <w:pPr>
        <w:spacing w:line="360" w:lineRule="auto"/>
        <w:ind w:right="315" w:rightChars="150" w:firstLine="525" w:firstLineChars="25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4）其它违约责任按《中华人民共和国民法典》处理。</w:t>
      </w:r>
    </w:p>
    <w:p w14:paraId="5DE4C0C6">
      <w:pPr>
        <w:tabs>
          <w:tab w:val="left" w:pos="420"/>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十、争端的解决</w:t>
      </w:r>
    </w:p>
    <w:p w14:paraId="5E9E1E86">
      <w:pPr>
        <w:spacing w:line="360" w:lineRule="auto"/>
        <w:ind w:right="315" w:rightChars="150"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合同执行过程中发生的任何争议，如双方不能通过友好协商解决，甲、乙双方一致同意向甲方所在地人民法院提起诉讼。</w:t>
      </w:r>
    </w:p>
    <w:p w14:paraId="556477EB">
      <w:pPr>
        <w:tabs>
          <w:tab w:val="left" w:pos="420"/>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w:t>
      </w:r>
      <w:r>
        <w:rPr>
          <w:rFonts w:hint="eastAsia" w:ascii="宋体" w:hAnsi="宋体" w:eastAsia="宋体"/>
          <w:b/>
          <w:color w:val="000000" w:themeColor="text1"/>
          <w:szCs w:val="21"/>
          <w:lang w:eastAsia="zh-CN"/>
          <w14:textFill>
            <w14:solidFill>
              <w14:schemeClr w14:val="tx1"/>
            </w14:solidFill>
          </w14:textFill>
        </w:rPr>
        <w:t>一</w:t>
      </w:r>
      <w:r>
        <w:rPr>
          <w:rFonts w:hint="eastAsia" w:ascii="宋体" w:hAnsi="宋体" w:eastAsia="宋体"/>
          <w:b/>
          <w:color w:val="000000" w:themeColor="text1"/>
          <w:szCs w:val="21"/>
          <w14:textFill>
            <w14:solidFill>
              <w14:schemeClr w14:val="tx1"/>
            </w14:solidFill>
          </w14:textFill>
        </w:rPr>
        <w:t>、不可抗力</w:t>
      </w:r>
    </w:p>
    <w:p w14:paraId="405278CB">
      <w:pPr>
        <w:spacing w:line="360" w:lineRule="auto"/>
        <w:ind w:right="315" w:rightChars="150"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BBBCF0B">
      <w:pPr>
        <w:tabs>
          <w:tab w:val="left" w:pos="420"/>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w:t>
      </w:r>
      <w:r>
        <w:rPr>
          <w:rFonts w:hint="eastAsia" w:ascii="宋体" w:hAnsi="宋体" w:eastAsia="宋体"/>
          <w:b/>
          <w:color w:val="000000" w:themeColor="text1"/>
          <w:szCs w:val="21"/>
          <w:lang w:eastAsia="zh-CN"/>
          <w14:textFill>
            <w14:solidFill>
              <w14:schemeClr w14:val="tx1"/>
            </w14:solidFill>
          </w14:textFill>
        </w:rPr>
        <w:t>二</w:t>
      </w:r>
      <w:r>
        <w:rPr>
          <w:rFonts w:hint="eastAsia" w:ascii="宋体" w:hAnsi="宋体" w:eastAsia="宋体"/>
          <w:b/>
          <w:color w:val="000000" w:themeColor="text1"/>
          <w:szCs w:val="21"/>
          <w14:textFill>
            <w14:solidFill>
              <w14:schemeClr w14:val="tx1"/>
            </w14:solidFill>
          </w14:textFill>
        </w:rPr>
        <w:t>、税费</w:t>
      </w:r>
    </w:p>
    <w:p w14:paraId="68DE8B7E">
      <w:pPr>
        <w:spacing w:line="360" w:lineRule="auto"/>
        <w:ind w:right="315" w:rightChars="150"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在中国境内、外发生的与本合同执行有关的一切税费均由乙方负担。</w:t>
      </w:r>
    </w:p>
    <w:p w14:paraId="4C611BE0">
      <w:pPr>
        <w:tabs>
          <w:tab w:val="left" w:pos="420"/>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w:t>
      </w:r>
      <w:r>
        <w:rPr>
          <w:rFonts w:hint="eastAsia" w:ascii="宋体" w:hAnsi="宋体" w:eastAsia="宋体"/>
          <w:b/>
          <w:color w:val="000000" w:themeColor="text1"/>
          <w:szCs w:val="21"/>
          <w:lang w:eastAsia="zh-CN"/>
          <w14:textFill>
            <w14:solidFill>
              <w14:schemeClr w14:val="tx1"/>
            </w14:solidFill>
          </w14:textFill>
        </w:rPr>
        <w:t>三</w:t>
      </w:r>
      <w:r>
        <w:rPr>
          <w:rFonts w:hint="eastAsia" w:ascii="宋体" w:hAnsi="宋体" w:eastAsia="宋体"/>
          <w:b/>
          <w:color w:val="000000" w:themeColor="text1"/>
          <w:szCs w:val="21"/>
          <w14:textFill>
            <w14:solidFill>
              <w14:schemeClr w14:val="tx1"/>
            </w14:solidFill>
          </w14:textFill>
        </w:rPr>
        <w:t>、其它</w:t>
      </w:r>
    </w:p>
    <w:p w14:paraId="582FDB42">
      <w:pPr>
        <w:spacing w:line="360" w:lineRule="auto"/>
        <w:ind w:right="315" w:rightChars="150"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1）本合同所有附件、竞争性磋商文件、响应文件、中标通知书均为合同的有效组成部分，与本合同具有同等法律效力。</w:t>
      </w:r>
    </w:p>
    <w:p w14:paraId="1CF3831E">
      <w:pPr>
        <w:spacing w:line="360" w:lineRule="auto"/>
        <w:ind w:right="315" w:rightChars="150"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）在执行本合同的过程中，所有经双方签署确认的文件（包括会议纪要、补充协议、往来信函）即成为本合同的有效组成部分。</w:t>
      </w:r>
    </w:p>
    <w:p w14:paraId="16D3623F">
      <w:pPr>
        <w:spacing w:line="360" w:lineRule="auto"/>
        <w:ind w:right="315" w:rightChars="150"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3）如一方地址、电话、传真号码有变更，应在变更当日内书面通知对方，否则，应承担相应责任。 </w:t>
      </w:r>
    </w:p>
    <w:p w14:paraId="3D0AFECA">
      <w:pPr>
        <w:spacing w:line="360" w:lineRule="auto"/>
        <w:ind w:right="315" w:rightChars="150"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4）除甲方事先书面同意外，乙方不得部分或全部转让其应履行的合同项下的义务。</w:t>
      </w:r>
    </w:p>
    <w:p w14:paraId="3D33B0BA">
      <w:pPr>
        <w:tabs>
          <w:tab w:val="left" w:pos="420"/>
        </w:tabs>
        <w:autoSpaceDE w:val="0"/>
        <w:autoSpaceDN w:val="0"/>
        <w:adjustRightInd w:val="0"/>
        <w:spacing w:line="360" w:lineRule="auto"/>
        <w:ind w:right="315" w:rightChars="15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w:t>
      </w:r>
      <w:r>
        <w:rPr>
          <w:rFonts w:hint="eastAsia" w:ascii="宋体" w:hAnsi="宋体" w:eastAsia="宋体"/>
          <w:b/>
          <w:color w:val="000000" w:themeColor="text1"/>
          <w:szCs w:val="21"/>
          <w:lang w:eastAsia="zh-CN"/>
          <w14:textFill>
            <w14:solidFill>
              <w14:schemeClr w14:val="tx1"/>
            </w14:solidFill>
          </w14:textFill>
        </w:rPr>
        <w:t>四</w:t>
      </w:r>
      <w:r>
        <w:rPr>
          <w:rFonts w:hint="eastAsia" w:ascii="宋体" w:hAnsi="宋体" w:eastAsia="宋体"/>
          <w:b/>
          <w:color w:val="000000" w:themeColor="text1"/>
          <w:szCs w:val="21"/>
          <w14:textFill>
            <w14:solidFill>
              <w14:schemeClr w14:val="tx1"/>
            </w14:solidFill>
          </w14:textFill>
        </w:rPr>
        <w:t>、合同生效</w:t>
      </w:r>
    </w:p>
    <w:p w14:paraId="6690CFB9">
      <w:pPr>
        <w:spacing w:line="360" w:lineRule="auto"/>
        <w:ind w:right="315" w:rightChars="1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1）合同自甲乙双方法人代表或其授权代表签字盖章之日起生效。</w:t>
      </w:r>
    </w:p>
    <w:p w14:paraId="3F9935AF">
      <w:pPr>
        <w:spacing w:line="360" w:lineRule="auto"/>
        <w:ind w:right="315" w:rightChars="150"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合同一式七份，其中甲乙双方各执三份，招标代理机构执一份</w:t>
      </w:r>
      <w:r>
        <w:rPr>
          <w:rFonts w:hint="eastAsia" w:ascii="宋体" w:hAnsi="宋体" w:eastAsia="宋体"/>
          <w:color w:val="000000" w:themeColor="text1"/>
          <w:szCs w:val="21"/>
          <w14:textFill>
            <w14:solidFill>
              <w14:schemeClr w14:val="tx1"/>
            </w14:solidFill>
          </w14:textFill>
        </w:rPr>
        <w:t>。</w:t>
      </w:r>
    </w:p>
    <w:p w14:paraId="04FD9EF8">
      <w:pPr>
        <w:spacing w:line="360" w:lineRule="auto"/>
        <w:ind w:right="315" w:rightChars="150"/>
        <w:rPr>
          <w:rFonts w:ascii="宋体" w:hAnsi="宋体" w:eastAsia="宋体"/>
          <w:b/>
          <w:color w:val="000000" w:themeColor="text1"/>
          <w:szCs w:val="21"/>
          <w14:textFill>
            <w14:solidFill>
              <w14:schemeClr w14:val="tx1"/>
            </w14:solidFill>
          </w14:textFill>
        </w:rPr>
      </w:pPr>
    </w:p>
    <w:p w14:paraId="7B400DEC">
      <w:pPr>
        <w:spacing w:line="360" w:lineRule="auto"/>
        <w:ind w:right="315" w:rightChars="15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甲方（盖章）：                                乙方（盖章）：</w:t>
      </w:r>
    </w:p>
    <w:p w14:paraId="3D027A5E">
      <w:pPr>
        <w:spacing w:line="360" w:lineRule="auto"/>
        <w:ind w:right="315" w:rightChars="15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 xml:space="preserve">代表：                                        代表： </w:t>
      </w:r>
    </w:p>
    <w:p w14:paraId="6F5AF3B4">
      <w:pPr>
        <w:spacing w:line="360" w:lineRule="auto"/>
        <w:ind w:right="315" w:right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签定地点：</w:t>
      </w:r>
    </w:p>
    <w:p w14:paraId="0B119F36">
      <w:pPr>
        <w:spacing w:line="360" w:lineRule="auto"/>
        <w:ind w:right="315" w:right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签定日期：        年     月    日             签定日期：        年     月     日    </w:t>
      </w:r>
    </w:p>
    <w:p w14:paraId="7ACBC296">
      <w:pPr>
        <w:spacing w:line="360" w:lineRule="auto"/>
        <w:ind w:right="315" w:rightChars="150" w:firstLine="483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开户名称：</w:t>
      </w:r>
    </w:p>
    <w:p w14:paraId="6F6565B5">
      <w:pPr>
        <w:spacing w:line="360" w:lineRule="auto"/>
        <w:ind w:right="315" w:rightChars="150" w:firstLine="483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银行账号：</w:t>
      </w:r>
    </w:p>
    <w:p w14:paraId="42EA4D38">
      <w:pPr>
        <w:spacing w:line="360" w:lineRule="auto"/>
        <w:ind w:right="315" w:rightChars="150" w:firstLine="4830"/>
        <w:rPr>
          <w:rFonts w:ascii="宋体" w:hAnsi="宋体" w:eastAsia="宋体"/>
          <w:color w:val="000000" w:themeColor="text1"/>
          <w:szCs w:val="21"/>
          <w14:textFill>
            <w14:solidFill>
              <w14:schemeClr w14:val="tx1"/>
            </w14:solidFill>
          </w14:textFill>
        </w:rPr>
      </w:pPr>
      <w:bookmarkStart w:id="11" w:name="_Toc457466637"/>
      <w:r>
        <w:rPr>
          <w:rFonts w:hint="eastAsia" w:ascii="宋体" w:hAnsi="宋体" w:eastAsia="宋体"/>
          <w:color w:val="000000" w:themeColor="text1"/>
          <w:szCs w:val="21"/>
          <w14:textFill>
            <w14:solidFill>
              <w14:schemeClr w14:val="tx1"/>
            </w14:solidFill>
          </w14:textFill>
        </w:rPr>
        <w:t>开户银行：</w:t>
      </w:r>
      <w:bookmarkEnd w:id="11"/>
    </w:p>
    <w:p w14:paraId="364F840F">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5BC870E8">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0BA4D8D8">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6D7BFB38">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0D713D71">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29384729">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2ABF9CDB">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40D97E74">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32C25678">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6170F259">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4AE8311E">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1315FBC7">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30313FCA">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2953480E">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78F746B7">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5321D16B">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073669C9">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78AB2F01">
      <w:pPr>
        <w:spacing w:line="360" w:lineRule="auto"/>
        <w:ind w:right="315" w:rightChars="150" w:firstLine="4830"/>
        <w:rPr>
          <w:rFonts w:ascii="宋体" w:hAnsi="宋体" w:eastAsia="宋体"/>
          <w:color w:val="000000" w:themeColor="text1"/>
          <w:szCs w:val="21"/>
          <w14:textFill>
            <w14:solidFill>
              <w14:schemeClr w14:val="tx1"/>
            </w14:solidFill>
          </w14:textFill>
        </w:rPr>
      </w:pPr>
    </w:p>
    <w:p w14:paraId="121D386E">
      <w:pPr>
        <w:pStyle w:val="2"/>
        <w:rPr>
          <w:rFonts w:ascii="宋体" w:hAnsi="宋体" w:eastAsia="宋体"/>
        </w:rPr>
      </w:pPr>
      <w:bookmarkStart w:id="12" w:name="_Toc152927348"/>
      <w:r>
        <w:rPr>
          <w:rFonts w:hint="eastAsia" w:ascii="宋体" w:hAnsi="宋体" w:eastAsia="宋体"/>
        </w:rPr>
        <w:t>第六章 响应文件格式</w:t>
      </w:r>
      <w:bookmarkEnd w:id="12"/>
    </w:p>
    <w:p w14:paraId="7105F4CE">
      <w:pPr>
        <w:spacing w:line="312" w:lineRule="auto"/>
        <w:jc w:val="center"/>
        <w:rPr>
          <w:rFonts w:ascii="宋体" w:hAnsi="宋体" w:eastAsia="宋体"/>
          <w:b/>
          <w:sz w:val="28"/>
          <w:szCs w:val="28"/>
        </w:rPr>
      </w:pPr>
      <w:r>
        <w:rPr>
          <w:rFonts w:hint="eastAsia" w:ascii="宋体" w:hAnsi="宋体" w:eastAsia="宋体"/>
          <w:b/>
          <w:sz w:val="28"/>
          <w:szCs w:val="28"/>
        </w:rPr>
        <w:t>包装封面参考</w:t>
      </w:r>
    </w:p>
    <w:tbl>
      <w:tblPr>
        <w:tblStyle w:val="40"/>
        <w:tblW w:w="10491"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10491"/>
      </w:tblGrid>
      <w:tr w14:paraId="4E76FBB8">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1329" w:hRule="atLeast"/>
          <w:jc w:val="center"/>
        </w:trPr>
        <w:tc>
          <w:tcPr>
            <w:tcW w:w="10491" w:type="dxa"/>
          </w:tcPr>
          <w:p w14:paraId="55DB9EE6">
            <w:pPr>
              <w:spacing w:line="312" w:lineRule="auto"/>
              <w:jc w:val="center"/>
              <w:rPr>
                <w:rFonts w:ascii="宋体" w:hAnsi="宋体" w:eastAsia="宋体"/>
                <w:sz w:val="72"/>
                <w:szCs w:val="72"/>
              </w:rPr>
            </w:pPr>
          </w:p>
          <w:p w14:paraId="75C18E0B">
            <w:pPr>
              <w:spacing w:line="312" w:lineRule="auto"/>
              <w:jc w:val="center"/>
              <w:rPr>
                <w:rFonts w:ascii="宋体" w:hAnsi="宋体" w:eastAsia="宋体"/>
                <w:b/>
                <w:sz w:val="72"/>
                <w:szCs w:val="72"/>
              </w:rPr>
            </w:pPr>
            <w:r>
              <w:rPr>
                <w:rFonts w:hint="eastAsia" w:ascii="宋体" w:hAnsi="宋体" w:eastAsia="宋体"/>
                <w:b/>
                <w:sz w:val="72"/>
                <w:szCs w:val="72"/>
              </w:rPr>
              <w:t>响 应 文 件</w:t>
            </w:r>
          </w:p>
          <w:p w14:paraId="6484627A">
            <w:pPr>
              <w:spacing w:line="312" w:lineRule="auto"/>
              <w:rPr>
                <w:rFonts w:ascii="宋体" w:hAnsi="宋体" w:eastAsia="宋体"/>
              </w:rPr>
            </w:pPr>
          </w:p>
          <w:p w14:paraId="72C9685B">
            <w:pPr>
              <w:spacing w:line="312" w:lineRule="auto"/>
              <w:rPr>
                <w:rFonts w:ascii="宋体" w:hAnsi="宋体" w:eastAsia="宋体"/>
              </w:rPr>
            </w:pPr>
          </w:p>
          <w:p w14:paraId="492C2883">
            <w:pPr>
              <w:spacing w:line="312" w:lineRule="auto"/>
              <w:rPr>
                <w:rFonts w:ascii="宋体" w:hAnsi="宋体" w:eastAsia="宋体"/>
              </w:rPr>
            </w:pPr>
          </w:p>
          <w:p w14:paraId="51A6B8D8">
            <w:pPr>
              <w:spacing w:line="312" w:lineRule="auto"/>
              <w:rPr>
                <w:rFonts w:ascii="宋体" w:hAnsi="宋体" w:eastAsia="宋体"/>
              </w:rPr>
            </w:pPr>
          </w:p>
          <w:p w14:paraId="2C7B728A">
            <w:pPr>
              <w:spacing w:line="312" w:lineRule="auto"/>
              <w:rPr>
                <w:rFonts w:ascii="宋体" w:hAnsi="宋体" w:eastAsia="宋体"/>
              </w:rPr>
            </w:pPr>
          </w:p>
          <w:p w14:paraId="346DC493">
            <w:pPr>
              <w:spacing w:line="312" w:lineRule="auto"/>
              <w:rPr>
                <w:rFonts w:ascii="宋体" w:hAnsi="宋体" w:eastAsia="宋体"/>
              </w:rPr>
            </w:pPr>
          </w:p>
          <w:p w14:paraId="2095FAC7">
            <w:pPr>
              <w:spacing w:line="312" w:lineRule="auto"/>
              <w:rPr>
                <w:rFonts w:ascii="宋体" w:hAnsi="宋体" w:eastAsia="宋体"/>
              </w:rPr>
            </w:pPr>
          </w:p>
          <w:p w14:paraId="0A1D85FF">
            <w:pPr>
              <w:spacing w:line="312" w:lineRule="auto"/>
              <w:rPr>
                <w:rFonts w:ascii="宋体" w:hAnsi="宋体" w:eastAsia="宋体"/>
              </w:rPr>
            </w:pPr>
          </w:p>
          <w:p w14:paraId="77B2C5A1">
            <w:pPr>
              <w:spacing w:line="312" w:lineRule="auto"/>
              <w:ind w:firstLine="4620" w:firstLineChars="1650"/>
              <w:rPr>
                <w:rFonts w:ascii="宋体" w:hAnsi="宋体" w:eastAsia="宋体"/>
                <w:sz w:val="28"/>
                <w:szCs w:val="28"/>
              </w:rPr>
            </w:pPr>
            <w:r>
              <w:rPr>
                <w:rFonts w:hint="eastAsia" w:ascii="宋体" w:hAnsi="宋体" w:eastAsia="宋体"/>
                <w:sz w:val="28"/>
                <w:szCs w:val="28"/>
              </w:rPr>
              <w:t>□正本</w:t>
            </w:r>
          </w:p>
          <w:p w14:paraId="6B0A0942">
            <w:pPr>
              <w:spacing w:line="312" w:lineRule="auto"/>
              <w:ind w:firstLine="4620" w:firstLineChars="1650"/>
              <w:rPr>
                <w:rFonts w:ascii="宋体" w:hAnsi="宋体" w:eastAsia="宋体"/>
                <w:sz w:val="28"/>
                <w:szCs w:val="28"/>
              </w:rPr>
            </w:pPr>
            <w:r>
              <w:rPr>
                <w:rFonts w:hint="eastAsia" w:ascii="宋体" w:hAnsi="宋体" w:eastAsia="宋体"/>
                <w:sz w:val="28"/>
                <w:szCs w:val="28"/>
              </w:rPr>
              <w:t>□副本</w:t>
            </w:r>
          </w:p>
          <w:p w14:paraId="7764E795">
            <w:pPr>
              <w:spacing w:line="312" w:lineRule="auto"/>
              <w:rPr>
                <w:rFonts w:ascii="宋体" w:hAnsi="宋体" w:eastAsia="宋体"/>
                <w:sz w:val="28"/>
                <w:szCs w:val="28"/>
              </w:rPr>
            </w:pPr>
          </w:p>
          <w:p w14:paraId="74FDA086">
            <w:pPr>
              <w:spacing w:line="312" w:lineRule="auto"/>
              <w:rPr>
                <w:rFonts w:ascii="宋体" w:hAnsi="宋体" w:eastAsia="宋体"/>
                <w:sz w:val="28"/>
                <w:szCs w:val="28"/>
              </w:rPr>
            </w:pPr>
          </w:p>
          <w:p w14:paraId="11E7AA54">
            <w:pPr>
              <w:spacing w:line="312" w:lineRule="auto"/>
              <w:rPr>
                <w:rFonts w:ascii="宋体" w:hAnsi="宋体" w:eastAsia="宋体"/>
                <w:sz w:val="28"/>
                <w:szCs w:val="28"/>
              </w:rPr>
            </w:pPr>
          </w:p>
          <w:p w14:paraId="627F55CE">
            <w:pPr>
              <w:spacing w:line="312" w:lineRule="auto"/>
              <w:rPr>
                <w:rFonts w:ascii="宋体" w:hAnsi="宋体" w:eastAsia="宋体"/>
                <w:sz w:val="28"/>
                <w:szCs w:val="28"/>
              </w:rPr>
            </w:pPr>
          </w:p>
          <w:p w14:paraId="28E390A8">
            <w:pPr>
              <w:spacing w:line="312" w:lineRule="auto"/>
              <w:ind w:firstLine="1699" w:firstLineChars="607"/>
              <w:rPr>
                <w:rFonts w:ascii="宋体" w:hAnsi="宋体" w:eastAsia="宋体"/>
                <w:sz w:val="28"/>
                <w:szCs w:val="28"/>
              </w:rPr>
            </w:pPr>
            <w:r>
              <w:rPr>
                <w:rFonts w:hint="eastAsia" w:ascii="宋体" w:hAnsi="宋体" w:eastAsia="宋体"/>
                <w:sz w:val="28"/>
                <w:szCs w:val="28"/>
              </w:rPr>
              <w:t>项目编号：</w:t>
            </w:r>
          </w:p>
          <w:p w14:paraId="7C5418DF">
            <w:pPr>
              <w:spacing w:line="312" w:lineRule="auto"/>
              <w:ind w:firstLine="1699" w:firstLineChars="607"/>
              <w:rPr>
                <w:rFonts w:ascii="宋体" w:hAnsi="宋体" w:eastAsia="宋体"/>
                <w:sz w:val="28"/>
                <w:szCs w:val="28"/>
              </w:rPr>
            </w:pPr>
            <w:r>
              <w:rPr>
                <w:rFonts w:hint="eastAsia" w:ascii="宋体" w:hAnsi="宋体" w:eastAsia="宋体"/>
                <w:sz w:val="28"/>
                <w:szCs w:val="28"/>
              </w:rPr>
              <w:t>项目名称：</w:t>
            </w:r>
          </w:p>
          <w:p w14:paraId="2BEF9F5A">
            <w:pPr>
              <w:spacing w:line="312" w:lineRule="auto"/>
              <w:ind w:firstLine="1699" w:firstLineChars="607"/>
              <w:rPr>
                <w:rFonts w:ascii="宋体" w:hAnsi="宋体" w:eastAsia="宋体"/>
                <w:sz w:val="28"/>
                <w:szCs w:val="28"/>
              </w:rPr>
            </w:pPr>
            <w:r>
              <w:rPr>
                <w:rFonts w:hint="eastAsia" w:ascii="宋体" w:hAnsi="宋体" w:eastAsia="宋体"/>
                <w:sz w:val="28"/>
                <w:szCs w:val="28"/>
              </w:rPr>
              <w:t>响应供应商名称：</w:t>
            </w:r>
          </w:p>
          <w:p w14:paraId="18804880">
            <w:pPr>
              <w:spacing w:line="312" w:lineRule="auto"/>
              <w:ind w:firstLine="1699" w:firstLineChars="607"/>
              <w:rPr>
                <w:rFonts w:ascii="宋体" w:hAnsi="宋体" w:eastAsia="宋体"/>
                <w:sz w:val="28"/>
                <w:szCs w:val="28"/>
              </w:rPr>
            </w:pPr>
            <w:r>
              <w:rPr>
                <w:rFonts w:hint="eastAsia" w:ascii="宋体" w:hAnsi="宋体" w:eastAsia="宋体"/>
                <w:sz w:val="28"/>
                <w:szCs w:val="28"/>
              </w:rPr>
              <w:t>响应供应商地址：</w:t>
            </w:r>
          </w:p>
          <w:p w14:paraId="52D1A05D">
            <w:pPr>
              <w:spacing w:line="312" w:lineRule="auto"/>
              <w:rPr>
                <w:rFonts w:ascii="宋体" w:hAnsi="宋体" w:eastAsia="宋体"/>
                <w:sz w:val="28"/>
                <w:szCs w:val="28"/>
              </w:rPr>
            </w:pPr>
          </w:p>
          <w:p w14:paraId="39A42352">
            <w:pPr>
              <w:spacing w:line="312" w:lineRule="auto"/>
              <w:jc w:val="center"/>
              <w:rPr>
                <w:rFonts w:ascii="宋体" w:hAnsi="宋体" w:eastAsia="宋体"/>
              </w:rPr>
            </w:pPr>
            <w:r>
              <w:rPr>
                <w:rFonts w:hint="eastAsia" w:ascii="宋体" w:hAnsi="宋体" w:eastAsia="宋体"/>
                <w:sz w:val="28"/>
                <w:szCs w:val="28"/>
              </w:rPr>
              <w:t>（</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r>
              <w:rPr>
                <w:rFonts w:hint="eastAsia" w:ascii="宋体" w:hAnsi="宋体" w:eastAsia="宋体"/>
                <w:sz w:val="28"/>
                <w:szCs w:val="28"/>
                <w:u w:val="single"/>
              </w:rPr>
              <w:t xml:space="preserve">   </w:t>
            </w:r>
            <w:r>
              <w:rPr>
                <w:rFonts w:hint="eastAsia" w:ascii="宋体" w:hAnsi="宋体" w:eastAsia="宋体"/>
                <w:sz w:val="28"/>
                <w:szCs w:val="28"/>
              </w:rPr>
              <w:t>时</w:t>
            </w:r>
            <w:r>
              <w:rPr>
                <w:rFonts w:hint="eastAsia" w:ascii="宋体" w:hAnsi="宋体" w:eastAsia="宋体"/>
                <w:sz w:val="28"/>
                <w:szCs w:val="28"/>
                <w:u w:val="single"/>
              </w:rPr>
              <w:t xml:space="preserve">   </w:t>
            </w:r>
            <w:r>
              <w:rPr>
                <w:rFonts w:hint="eastAsia" w:ascii="宋体" w:hAnsi="宋体" w:eastAsia="宋体"/>
                <w:sz w:val="28"/>
                <w:szCs w:val="28"/>
              </w:rPr>
              <w:t>分）之前不得开封。</w:t>
            </w:r>
          </w:p>
        </w:tc>
      </w:tr>
    </w:tbl>
    <w:p w14:paraId="478F9229">
      <w:pPr>
        <w:spacing w:line="312" w:lineRule="auto"/>
        <w:jc w:val="center"/>
        <w:rPr>
          <w:rFonts w:ascii="宋体" w:hAnsi="宋体" w:eastAsia="宋体"/>
          <w:b/>
          <w:sz w:val="28"/>
          <w:szCs w:val="28"/>
        </w:rPr>
      </w:pPr>
      <w:r>
        <w:rPr>
          <w:rFonts w:hint="eastAsia" w:ascii="宋体" w:hAnsi="宋体" w:eastAsia="宋体"/>
          <w:b/>
          <w:sz w:val="28"/>
          <w:szCs w:val="28"/>
        </w:rPr>
        <w:t>响应文件目录表</w:t>
      </w:r>
    </w:p>
    <w:p w14:paraId="6CBEDC9C">
      <w:pPr>
        <w:spacing w:line="312" w:lineRule="auto"/>
        <w:rPr>
          <w:rFonts w:hint="eastAsia" w:ascii="宋体" w:hAnsi="宋体" w:eastAsia="宋体"/>
          <w:lang w:eastAsia="zh-CN"/>
        </w:rPr>
      </w:pPr>
      <w:r>
        <w:rPr>
          <w:rFonts w:hint="eastAsia" w:ascii="宋体" w:hAnsi="宋体" w:eastAsia="宋体"/>
        </w:rPr>
        <w:t>项目名称：</w:t>
      </w:r>
      <w:r>
        <w:rPr>
          <w:rFonts w:hint="eastAsia" w:ascii="宋体" w:hAnsi="宋体" w:eastAsia="宋体"/>
          <w:lang w:eastAsia="zh-CN"/>
        </w:rPr>
        <w:t>郁南县桂圩镇初级中学2025-2026学年食堂食品采购项目</w:t>
      </w:r>
    </w:p>
    <w:p w14:paraId="75D813CA">
      <w:pPr>
        <w:spacing w:line="312" w:lineRule="auto"/>
        <w:rPr>
          <w:rFonts w:hint="eastAsia" w:ascii="宋体" w:hAnsi="宋体" w:eastAsia="宋体"/>
          <w:lang w:eastAsia="zh-CN"/>
        </w:rPr>
      </w:pPr>
      <w:r>
        <w:rPr>
          <w:rFonts w:hint="eastAsia" w:ascii="宋体" w:hAnsi="宋体" w:eastAsia="宋体"/>
        </w:rPr>
        <w:t>项目编号：</w:t>
      </w:r>
      <w:r>
        <w:rPr>
          <w:rFonts w:hint="eastAsia" w:ascii="宋体" w:hAnsi="宋体" w:eastAsia="宋体"/>
          <w:lang w:eastAsia="zh-CN"/>
        </w:rPr>
        <w:t>GDCF-YN-CG-20250802</w:t>
      </w:r>
    </w:p>
    <w:tbl>
      <w:tblPr>
        <w:tblStyle w:val="40"/>
        <w:tblW w:w="1040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1"/>
        <w:gridCol w:w="567"/>
        <w:gridCol w:w="5954"/>
        <w:gridCol w:w="567"/>
        <w:gridCol w:w="567"/>
        <w:gridCol w:w="709"/>
        <w:gridCol w:w="567"/>
      </w:tblGrid>
      <w:tr w14:paraId="6BD2CD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1471" w:type="dxa"/>
            <w:vMerge w:val="restart"/>
            <w:vAlign w:val="center"/>
          </w:tcPr>
          <w:p w14:paraId="15C93709">
            <w:pPr>
              <w:spacing w:line="312" w:lineRule="auto"/>
              <w:jc w:val="center"/>
              <w:rPr>
                <w:rFonts w:ascii="宋体" w:hAnsi="宋体" w:eastAsia="宋体"/>
                <w:szCs w:val="21"/>
              </w:rPr>
            </w:pPr>
            <w:r>
              <w:rPr>
                <w:rFonts w:hint="eastAsia" w:ascii="宋体" w:hAnsi="宋体" w:eastAsia="宋体"/>
                <w:szCs w:val="21"/>
              </w:rPr>
              <w:t>文件类型</w:t>
            </w:r>
          </w:p>
        </w:tc>
        <w:tc>
          <w:tcPr>
            <w:tcW w:w="567" w:type="dxa"/>
            <w:vMerge w:val="restart"/>
            <w:vAlign w:val="center"/>
          </w:tcPr>
          <w:p w14:paraId="1DBF6909">
            <w:pPr>
              <w:spacing w:line="312" w:lineRule="auto"/>
              <w:jc w:val="center"/>
              <w:rPr>
                <w:rFonts w:ascii="宋体" w:hAnsi="宋体" w:eastAsia="宋体"/>
                <w:szCs w:val="21"/>
              </w:rPr>
            </w:pPr>
            <w:r>
              <w:rPr>
                <w:rFonts w:hint="eastAsia" w:ascii="宋体" w:hAnsi="宋体" w:eastAsia="宋体"/>
                <w:szCs w:val="21"/>
              </w:rPr>
              <w:t>序号</w:t>
            </w:r>
          </w:p>
        </w:tc>
        <w:tc>
          <w:tcPr>
            <w:tcW w:w="5954" w:type="dxa"/>
            <w:vMerge w:val="restart"/>
            <w:vAlign w:val="center"/>
          </w:tcPr>
          <w:p w14:paraId="050ED74E">
            <w:pPr>
              <w:spacing w:line="312" w:lineRule="auto"/>
              <w:jc w:val="center"/>
              <w:rPr>
                <w:rFonts w:ascii="宋体" w:hAnsi="宋体" w:eastAsia="宋体"/>
                <w:szCs w:val="21"/>
              </w:rPr>
            </w:pPr>
            <w:r>
              <w:rPr>
                <w:rFonts w:hint="eastAsia" w:ascii="宋体" w:hAnsi="宋体" w:eastAsia="宋体"/>
                <w:szCs w:val="21"/>
              </w:rPr>
              <w:t>文件名称</w:t>
            </w:r>
          </w:p>
        </w:tc>
        <w:tc>
          <w:tcPr>
            <w:tcW w:w="1134" w:type="dxa"/>
            <w:gridSpan w:val="2"/>
            <w:vAlign w:val="center"/>
          </w:tcPr>
          <w:p w14:paraId="40079B82">
            <w:pPr>
              <w:spacing w:line="312" w:lineRule="auto"/>
              <w:jc w:val="center"/>
              <w:rPr>
                <w:rFonts w:ascii="宋体" w:hAnsi="宋体" w:eastAsia="宋体"/>
                <w:szCs w:val="21"/>
              </w:rPr>
            </w:pPr>
            <w:r>
              <w:rPr>
                <w:rFonts w:hint="eastAsia" w:ascii="宋体" w:hAnsi="宋体" w:eastAsia="宋体"/>
                <w:szCs w:val="21"/>
              </w:rPr>
              <w:t>递交情况</w:t>
            </w:r>
          </w:p>
        </w:tc>
        <w:tc>
          <w:tcPr>
            <w:tcW w:w="709" w:type="dxa"/>
            <w:vMerge w:val="restart"/>
            <w:vAlign w:val="center"/>
          </w:tcPr>
          <w:p w14:paraId="03074409">
            <w:pPr>
              <w:spacing w:line="312" w:lineRule="auto"/>
              <w:jc w:val="center"/>
              <w:rPr>
                <w:rFonts w:ascii="宋体" w:hAnsi="宋体" w:eastAsia="宋体"/>
                <w:szCs w:val="21"/>
              </w:rPr>
            </w:pPr>
            <w:r>
              <w:rPr>
                <w:rFonts w:hint="eastAsia" w:ascii="宋体" w:hAnsi="宋体" w:eastAsia="宋体"/>
                <w:szCs w:val="21"/>
              </w:rPr>
              <w:t>页码范围</w:t>
            </w:r>
          </w:p>
        </w:tc>
        <w:tc>
          <w:tcPr>
            <w:tcW w:w="567" w:type="dxa"/>
            <w:vMerge w:val="restart"/>
            <w:vAlign w:val="center"/>
          </w:tcPr>
          <w:p w14:paraId="15BB30BE">
            <w:pPr>
              <w:spacing w:line="312" w:lineRule="auto"/>
              <w:jc w:val="center"/>
              <w:rPr>
                <w:rFonts w:ascii="宋体" w:hAnsi="宋体" w:eastAsia="宋体"/>
                <w:szCs w:val="21"/>
              </w:rPr>
            </w:pPr>
            <w:r>
              <w:rPr>
                <w:rFonts w:hint="eastAsia" w:ascii="宋体" w:hAnsi="宋体" w:eastAsia="宋体"/>
                <w:szCs w:val="21"/>
              </w:rPr>
              <w:t>备注</w:t>
            </w:r>
          </w:p>
        </w:tc>
      </w:tr>
      <w:tr w14:paraId="555A7A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471" w:type="dxa"/>
            <w:vMerge w:val="continue"/>
            <w:vAlign w:val="center"/>
          </w:tcPr>
          <w:p w14:paraId="61E9EF55">
            <w:pPr>
              <w:spacing w:line="312" w:lineRule="auto"/>
              <w:jc w:val="center"/>
              <w:rPr>
                <w:rFonts w:ascii="宋体" w:hAnsi="宋体" w:eastAsia="宋体"/>
                <w:szCs w:val="21"/>
              </w:rPr>
            </w:pPr>
          </w:p>
        </w:tc>
        <w:tc>
          <w:tcPr>
            <w:tcW w:w="567" w:type="dxa"/>
            <w:vMerge w:val="continue"/>
            <w:vAlign w:val="center"/>
          </w:tcPr>
          <w:p w14:paraId="600B688A">
            <w:pPr>
              <w:spacing w:line="312" w:lineRule="auto"/>
              <w:jc w:val="center"/>
              <w:rPr>
                <w:rFonts w:ascii="宋体" w:hAnsi="宋体" w:eastAsia="宋体"/>
                <w:szCs w:val="21"/>
              </w:rPr>
            </w:pPr>
          </w:p>
        </w:tc>
        <w:tc>
          <w:tcPr>
            <w:tcW w:w="5954" w:type="dxa"/>
            <w:vMerge w:val="continue"/>
            <w:vAlign w:val="center"/>
          </w:tcPr>
          <w:p w14:paraId="5B56AF7E">
            <w:pPr>
              <w:spacing w:line="312" w:lineRule="auto"/>
              <w:jc w:val="center"/>
              <w:rPr>
                <w:rFonts w:ascii="宋体" w:hAnsi="宋体" w:eastAsia="宋体"/>
                <w:szCs w:val="21"/>
              </w:rPr>
            </w:pPr>
          </w:p>
        </w:tc>
        <w:tc>
          <w:tcPr>
            <w:tcW w:w="567" w:type="dxa"/>
            <w:vAlign w:val="center"/>
          </w:tcPr>
          <w:p w14:paraId="27FE902F">
            <w:pPr>
              <w:spacing w:line="312" w:lineRule="auto"/>
              <w:jc w:val="center"/>
              <w:rPr>
                <w:rFonts w:ascii="宋体" w:hAnsi="宋体" w:eastAsia="宋体"/>
                <w:szCs w:val="21"/>
              </w:rPr>
            </w:pPr>
            <w:r>
              <w:rPr>
                <w:rFonts w:hint="eastAsia" w:ascii="宋体" w:hAnsi="宋体" w:eastAsia="宋体"/>
                <w:szCs w:val="21"/>
              </w:rPr>
              <w:t>有</w:t>
            </w:r>
          </w:p>
        </w:tc>
        <w:tc>
          <w:tcPr>
            <w:tcW w:w="567" w:type="dxa"/>
            <w:vAlign w:val="center"/>
          </w:tcPr>
          <w:p w14:paraId="28F1A75D">
            <w:pPr>
              <w:spacing w:line="312" w:lineRule="auto"/>
              <w:jc w:val="center"/>
              <w:rPr>
                <w:rFonts w:ascii="宋体" w:hAnsi="宋体" w:eastAsia="宋体"/>
                <w:szCs w:val="21"/>
              </w:rPr>
            </w:pPr>
            <w:r>
              <w:rPr>
                <w:rFonts w:hint="eastAsia" w:ascii="宋体" w:hAnsi="宋体" w:eastAsia="宋体"/>
                <w:szCs w:val="21"/>
              </w:rPr>
              <w:t>无</w:t>
            </w:r>
          </w:p>
        </w:tc>
        <w:tc>
          <w:tcPr>
            <w:tcW w:w="709" w:type="dxa"/>
            <w:vMerge w:val="continue"/>
            <w:vAlign w:val="center"/>
          </w:tcPr>
          <w:p w14:paraId="1C298C13">
            <w:pPr>
              <w:spacing w:line="312" w:lineRule="auto"/>
              <w:jc w:val="center"/>
              <w:rPr>
                <w:rFonts w:ascii="宋体" w:hAnsi="宋体" w:eastAsia="宋体"/>
                <w:szCs w:val="21"/>
              </w:rPr>
            </w:pPr>
          </w:p>
        </w:tc>
        <w:tc>
          <w:tcPr>
            <w:tcW w:w="567" w:type="dxa"/>
            <w:vMerge w:val="continue"/>
            <w:vAlign w:val="center"/>
          </w:tcPr>
          <w:p w14:paraId="3D1776E9">
            <w:pPr>
              <w:spacing w:line="312" w:lineRule="auto"/>
              <w:jc w:val="center"/>
              <w:rPr>
                <w:rFonts w:ascii="宋体" w:hAnsi="宋体" w:eastAsia="宋体"/>
                <w:szCs w:val="21"/>
              </w:rPr>
            </w:pPr>
          </w:p>
        </w:tc>
      </w:tr>
      <w:tr w14:paraId="40FC5E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471" w:type="dxa"/>
            <w:vMerge w:val="restart"/>
            <w:vAlign w:val="center"/>
          </w:tcPr>
          <w:p w14:paraId="1E57BC0B">
            <w:pPr>
              <w:spacing w:line="240" w:lineRule="exact"/>
              <w:jc w:val="center"/>
              <w:rPr>
                <w:rFonts w:ascii="宋体" w:hAnsi="宋体" w:eastAsia="宋体"/>
                <w:szCs w:val="21"/>
              </w:rPr>
            </w:pPr>
            <w:r>
              <w:rPr>
                <w:rFonts w:hint="eastAsia" w:ascii="宋体" w:hAnsi="宋体" w:eastAsia="宋体"/>
                <w:szCs w:val="21"/>
              </w:rPr>
              <w:t>初审文件（加盖响应供应商公章）</w:t>
            </w:r>
          </w:p>
        </w:tc>
        <w:tc>
          <w:tcPr>
            <w:tcW w:w="567" w:type="dxa"/>
            <w:vAlign w:val="center"/>
          </w:tcPr>
          <w:p w14:paraId="2AF88107">
            <w:pPr>
              <w:spacing w:line="312" w:lineRule="auto"/>
              <w:jc w:val="center"/>
              <w:rPr>
                <w:rFonts w:ascii="宋体" w:hAnsi="宋体" w:eastAsia="宋体"/>
                <w:szCs w:val="21"/>
              </w:rPr>
            </w:pPr>
            <w:r>
              <w:rPr>
                <w:rFonts w:hint="eastAsia" w:ascii="宋体" w:hAnsi="宋体" w:eastAsia="宋体"/>
                <w:szCs w:val="21"/>
              </w:rPr>
              <w:t>1</w:t>
            </w:r>
          </w:p>
        </w:tc>
        <w:tc>
          <w:tcPr>
            <w:tcW w:w="5954" w:type="dxa"/>
            <w:vAlign w:val="center"/>
          </w:tcPr>
          <w:p w14:paraId="22CB3FBD">
            <w:pPr>
              <w:rPr>
                <w:rFonts w:ascii="宋体" w:hAnsi="宋体" w:eastAsia="宋体"/>
                <w:szCs w:val="21"/>
              </w:rPr>
            </w:pPr>
            <w:r>
              <w:rPr>
                <w:rFonts w:hint="eastAsia" w:ascii="宋体" w:hAnsi="宋体" w:eastAsia="宋体"/>
                <w:szCs w:val="21"/>
              </w:rPr>
              <w:t>磋商函</w:t>
            </w:r>
          </w:p>
        </w:tc>
        <w:tc>
          <w:tcPr>
            <w:tcW w:w="567" w:type="dxa"/>
            <w:vAlign w:val="center"/>
          </w:tcPr>
          <w:p w14:paraId="404B8162">
            <w:pPr>
              <w:spacing w:line="312" w:lineRule="auto"/>
              <w:jc w:val="center"/>
              <w:rPr>
                <w:rFonts w:ascii="宋体" w:hAnsi="宋体" w:eastAsia="宋体"/>
                <w:szCs w:val="21"/>
              </w:rPr>
            </w:pPr>
          </w:p>
        </w:tc>
        <w:tc>
          <w:tcPr>
            <w:tcW w:w="567" w:type="dxa"/>
            <w:vAlign w:val="center"/>
          </w:tcPr>
          <w:p w14:paraId="238A7CC2">
            <w:pPr>
              <w:spacing w:line="312" w:lineRule="auto"/>
              <w:jc w:val="center"/>
              <w:rPr>
                <w:rFonts w:ascii="宋体" w:hAnsi="宋体" w:eastAsia="宋体"/>
                <w:szCs w:val="21"/>
              </w:rPr>
            </w:pPr>
          </w:p>
        </w:tc>
        <w:tc>
          <w:tcPr>
            <w:tcW w:w="709" w:type="dxa"/>
            <w:vAlign w:val="center"/>
          </w:tcPr>
          <w:p w14:paraId="54465875">
            <w:pPr>
              <w:spacing w:line="312" w:lineRule="auto"/>
              <w:jc w:val="center"/>
              <w:rPr>
                <w:rFonts w:ascii="宋体" w:hAnsi="宋体" w:eastAsia="宋体"/>
                <w:szCs w:val="21"/>
              </w:rPr>
            </w:pPr>
          </w:p>
        </w:tc>
        <w:tc>
          <w:tcPr>
            <w:tcW w:w="567" w:type="dxa"/>
            <w:vAlign w:val="center"/>
          </w:tcPr>
          <w:p w14:paraId="27F1FC07">
            <w:pPr>
              <w:spacing w:line="312" w:lineRule="auto"/>
              <w:jc w:val="center"/>
              <w:rPr>
                <w:rFonts w:ascii="宋体" w:hAnsi="宋体" w:eastAsia="宋体"/>
                <w:szCs w:val="21"/>
              </w:rPr>
            </w:pPr>
          </w:p>
        </w:tc>
      </w:tr>
      <w:tr w14:paraId="035F75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471" w:type="dxa"/>
            <w:vMerge w:val="continue"/>
          </w:tcPr>
          <w:p w14:paraId="3143F282">
            <w:pPr>
              <w:spacing w:line="240" w:lineRule="exact"/>
              <w:rPr>
                <w:rFonts w:ascii="宋体" w:hAnsi="宋体" w:eastAsia="宋体"/>
                <w:szCs w:val="21"/>
              </w:rPr>
            </w:pPr>
          </w:p>
        </w:tc>
        <w:tc>
          <w:tcPr>
            <w:tcW w:w="567" w:type="dxa"/>
            <w:vAlign w:val="center"/>
          </w:tcPr>
          <w:p w14:paraId="7196464C">
            <w:pPr>
              <w:spacing w:line="312" w:lineRule="auto"/>
              <w:jc w:val="center"/>
              <w:rPr>
                <w:rFonts w:ascii="宋体" w:hAnsi="宋体" w:eastAsia="宋体"/>
                <w:szCs w:val="21"/>
              </w:rPr>
            </w:pPr>
            <w:r>
              <w:rPr>
                <w:rFonts w:hint="eastAsia" w:ascii="宋体" w:hAnsi="宋体" w:eastAsia="宋体"/>
                <w:szCs w:val="21"/>
              </w:rPr>
              <w:t>2</w:t>
            </w:r>
          </w:p>
        </w:tc>
        <w:tc>
          <w:tcPr>
            <w:tcW w:w="5954" w:type="dxa"/>
            <w:vAlign w:val="center"/>
          </w:tcPr>
          <w:p w14:paraId="22BF209C">
            <w:pPr>
              <w:rPr>
                <w:rFonts w:ascii="宋体" w:hAnsi="宋体" w:eastAsia="宋体"/>
                <w:szCs w:val="21"/>
              </w:rPr>
            </w:pPr>
            <w:r>
              <w:rPr>
                <w:rFonts w:hint="eastAsia" w:ascii="宋体" w:hAnsi="宋体" w:eastAsia="宋体"/>
                <w:szCs w:val="21"/>
              </w:rPr>
              <w:t>响应供应商承诺声明函</w:t>
            </w:r>
          </w:p>
        </w:tc>
        <w:tc>
          <w:tcPr>
            <w:tcW w:w="567" w:type="dxa"/>
          </w:tcPr>
          <w:p w14:paraId="499261E3">
            <w:pPr>
              <w:spacing w:line="312" w:lineRule="auto"/>
              <w:rPr>
                <w:rFonts w:ascii="宋体" w:hAnsi="宋体" w:eastAsia="宋体"/>
                <w:szCs w:val="21"/>
              </w:rPr>
            </w:pPr>
          </w:p>
        </w:tc>
        <w:tc>
          <w:tcPr>
            <w:tcW w:w="567" w:type="dxa"/>
          </w:tcPr>
          <w:p w14:paraId="31EC8064">
            <w:pPr>
              <w:spacing w:line="312" w:lineRule="auto"/>
              <w:rPr>
                <w:rFonts w:ascii="宋体" w:hAnsi="宋体" w:eastAsia="宋体"/>
                <w:szCs w:val="21"/>
              </w:rPr>
            </w:pPr>
          </w:p>
        </w:tc>
        <w:tc>
          <w:tcPr>
            <w:tcW w:w="709" w:type="dxa"/>
          </w:tcPr>
          <w:p w14:paraId="65554642">
            <w:pPr>
              <w:spacing w:line="312" w:lineRule="auto"/>
              <w:rPr>
                <w:rFonts w:ascii="宋体" w:hAnsi="宋体" w:eastAsia="宋体"/>
                <w:szCs w:val="21"/>
              </w:rPr>
            </w:pPr>
          </w:p>
        </w:tc>
        <w:tc>
          <w:tcPr>
            <w:tcW w:w="567" w:type="dxa"/>
          </w:tcPr>
          <w:p w14:paraId="180347D5">
            <w:pPr>
              <w:spacing w:line="312" w:lineRule="auto"/>
              <w:rPr>
                <w:rFonts w:ascii="宋体" w:hAnsi="宋体" w:eastAsia="宋体"/>
                <w:szCs w:val="21"/>
              </w:rPr>
            </w:pPr>
          </w:p>
        </w:tc>
      </w:tr>
      <w:tr w14:paraId="12BE8F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471" w:type="dxa"/>
            <w:vMerge w:val="continue"/>
          </w:tcPr>
          <w:p w14:paraId="173A90E8">
            <w:pPr>
              <w:spacing w:line="240" w:lineRule="exact"/>
              <w:rPr>
                <w:rFonts w:ascii="宋体" w:hAnsi="宋体" w:eastAsia="宋体"/>
                <w:szCs w:val="21"/>
              </w:rPr>
            </w:pPr>
          </w:p>
        </w:tc>
        <w:tc>
          <w:tcPr>
            <w:tcW w:w="567" w:type="dxa"/>
            <w:vAlign w:val="center"/>
          </w:tcPr>
          <w:p w14:paraId="0ABA50E6">
            <w:pPr>
              <w:spacing w:line="312" w:lineRule="auto"/>
              <w:jc w:val="center"/>
              <w:rPr>
                <w:rFonts w:ascii="宋体" w:hAnsi="宋体" w:eastAsia="宋体"/>
                <w:szCs w:val="21"/>
              </w:rPr>
            </w:pPr>
            <w:r>
              <w:rPr>
                <w:rFonts w:hint="eastAsia" w:ascii="宋体" w:hAnsi="宋体" w:eastAsia="宋体"/>
                <w:szCs w:val="21"/>
              </w:rPr>
              <w:t>3</w:t>
            </w:r>
          </w:p>
        </w:tc>
        <w:tc>
          <w:tcPr>
            <w:tcW w:w="5954" w:type="dxa"/>
            <w:vAlign w:val="center"/>
          </w:tcPr>
          <w:p w14:paraId="63321531">
            <w:pPr>
              <w:rPr>
                <w:rFonts w:ascii="宋体" w:hAnsi="宋体" w:eastAsia="宋体"/>
                <w:szCs w:val="21"/>
              </w:rPr>
            </w:pPr>
            <w:r>
              <w:rPr>
                <w:rFonts w:hint="eastAsia" w:ascii="宋体" w:hAnsi="宋体" w:eastAsia="宋体"/>
                <w:szCs w:val="21"/>
              </w:rPr>
              <w:t>法人或者其他组织的营业执照等证明文件</w:t>
            </w:r>
          </w:p>
        </w:tc>
        <w:tc>
          <w:tcPr>
            <w:tcW w:w="567" w:type="dxa"/>
          </w:tcPr>
          <w:p w14:paraId="663D8DBD">
            <w:pPr>
              <w:spacing w:line="312" w:lineRule="auto"/>
              <w:rPr>
                <w:rFonts w:ascii="宋体" w:hAnsi="宋体" w:eastAsia="宋体"/>
                <w:szCs w:val="21"/>
              </w:rPr>
            </w:pPr>
          </w:p>
        </w:tc>
        <w:tc>
          <w:tcPr>
            <w:tcW w:w="567" w:type="dxa"/>
          </w:tcPr>
          <w:p w14:paraId="377F2AC3">
            <w:pPr>
              <w:spacing w:line="312" w:lineRule="auto"/>
              <w:rPr>
                <w:rFonts w:ascii="宋体" w:hAnsi="宋体" w:eastAsia="宋体"/>
                <w:szCs w:val="21"/>
              </w:rPr>
            </w:pPr>
          </w:p>
        </w:tc>
        <w:tc>
          <w:tcPr>
            <w:tcW w:w="709" w:type="dxa"/>
          </w:tcPr>
          <w:p w14:paraId="574B121D">
            <w:pPr>
              <w:spacing w:line="312" w:lineRule="auto"/>
              <w:rPr>
                <w:rFonts w:ascii="宋体" w:hAnsi="宋体" w:eastAsia="宋体"/>
                <w:szCs w:val="21"/>
              </w:rPr>
            </w:pPr>
          </w:p>
        </w:tc>
        <w:tc>
          <w:tcPr>
            <w:tcW w:w="567" w:type="dxa"/>
          </w:tcPr>
          <w:p w14:paraId="07B4E5E5">
            <w:pPr>
              <w:spacing w:line="312" w:lineRule="auto"/>
              <w:rPr>
                <w:rFonts w:ascii="宋体" w:hAnsi="宋体" w:eastAsia="宋体"/>
                <w:szCs w:val="21"/>
              </w:rPr>
            </w:pPr>
          </w:p>
        </w:tc>
      </w:tr>
      <w:tr w14:paraId="07E12F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471" w:type="dxa"/>
            <w:vMerge w:val="continue"/>
          </w:tcPr>
          <w:p w14:paraId="5EDB3BE4">
            <w:pPr>
              <w:spacing w:line="240" w:lineRule="exact"/>
              <w:rPr>
                <w:rFonts w:ascii="宋体" w:hAnsi="宋体" w:eastAsia="宋体"/>
                <w:szCs w:val="21"/>
              </w:rPr>
            </w:pPr>
          </w:p>
        </w:tc>
        <w:tc>
          <w:tcPr>
            <w:tcW w:w="567" w:type="dxa"/>
            <w:vAlign w:val="center"/>
          </w:tcPr>
          <w:p w14:paraId="2B3A5D6E">
            <w:pPr>
              <w:spacing w:line="312" w:lineRule="auto"/>
              <w:jc w:val="center"/>
              <w:rPr>
                <w:rFonts w:ascii="宋体" w:hAnsi="宋体" w:eastAsia="宋体"/>
                <w:szCs w:val="21"/>
              </w:rPr>
            </w:pPr>
            <w:r>
              <w:rPr>
                <w:rFonts w:hint="eastAsia" w:ascii="宋体" w:hAnsi="宋体" w:eastAsia="宋体"/>
                <w:szCs w:val="21"/>
              </w:rPr>
              <w:t>4</w:t>
            </w:r>
          </w:p>
        </w:tc>
        <w:tc>
          <w:tcPr>
            <w:tcW w:w="5954" w:type="dxa"/>
            <w:vAlign w:val="center"/>
          </w:tcPr>
          <w:p w14:paraId="52D82006">
            <w:pPr>
              <w:rPr>
                <w:rFonts w:ascii="宋体" w:hAnsi="宋体" w:eastAsia="宋体"/>
                <w:szCs w:val="21"/>
              </w:rPr>
            </w:pPr>
            <w:r>
              <w:rPr>
                <w:rFonts w:hint="eastAsia" w:ascii="宋体" w:hAnsi="宋体" w:eastAsia="宋体"/>
                <w:bCs/>
              </w:rPr>
              <w:t>有依法缴纳税收和社会保障资金的良好记录：提供书面承诺声明函，格式自拟。</w:t>
            </w:r>
          </w:p>
        </w:tc>
        <w:tc>
          <w:tcPr>
            <w:tcW w:w="567" w:type="dxa"/>
          </w:tcPr>
          <w:p w14:paraId="10EC1260">
            <w:pPr>
              <w:spacing w:line="312" w:lineRule="auto"/>
              <w:rPr>
                <w:rFonts w:ascii="宋体" w:hAnsi="宋体" w:eastAsia="宋体"/>
                <w:szCs w:val="21"/>
              </w:rPr>
            </w:pPr>
          </w:p>
        </w:tc>
        <w:tc>
          <w:tcPr>
            <w:tcW w:w="567" w:type="dxa"/>
          </w:tcPr>
          <w:p w14:paraId="548279E9">
            <w:pPr>
              <w:spacing w:line="312" w:lineRule="auto"/>
              <w:rPr>
                <w:rFonts w:ascii="宋体" w:hAnsi="宋体" w:eastAsia="宋体"/>
                <w:szCs w:val="21"/>
              </w:rPr>
            </w:pPr>
          </w:p>
        </w:tc>
        <w:tc>
          <w:tcPr>
            <w:tcW w:w="709" w:type="dxa"/>
          </w:tcPr>
          <w:p w14:paraId="0F379D73">
            <w:pPr>
              <w:spacing w:line="312" w:lineRule="auto"/>
              <w:rPr>
                <w:rFonts w:ascii="宋体" w:hAnsi="宋体" w:eastAsia="宋体"/>
                <w:szCs w:val="21"/>
              </w:rPr>
            </w:pPr>
          </w:p>
        </w:tc>
        <w:tc>
          <w:tcPr>
            <w:tcW w:w="567" w:type="dxa"/>
          </w:tcPr>
          <w:p w14:paraId="69EDD05D">
            <w:pPr>
              <w:spacing w:line="312" w:lineRule="auto"/>
              <w:rPr>
                <w:rFonts w:ascii="宋体" w:hAnsi="宋体" w:eastAsia="宋体"/>
                <w:szCs w:val="21"/>
              </w:rPr>
            </w:pPr>
          </w:p>
        </w:tc>
      </w:tr>
      <w:tr w14:paraId="0C558F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471" w:type="dxa"/>
            <w:vMerge w:val="continue"/>
          </w:tcPr>
          <w:p w14:paraId="57A94760">
            <w:pPr>
              <w:spacing w:line="240" w:lineRule="exact"/>
              <w:rPr>
                <w:rFonts w:ascii="宋体" w:hAnsi="宋体" w:eastAsia="宋体"/>
                <w:szCs w:val="21"/>
              </w:rPr>
            </w:pPr>
          </w:p>
        </w:tc>
        <w:tc>
          <w:tcPr>
            <w:tcW w:w="567" w:type="dxa"/>
            <w:vAlign w:val="center"/>
          </w:tcPr>
          <w:p w14:paraId="12C961F9">
            <w:pPr>
              <w:spacing w:line="312" w:lineRule="auto"/>
              <w:jc w:val="center"/>
              <w:rPr>
                <w:rFonts w:ascii="宋体" w:hAnsi="宋体" w:eastAsia="宋体"/>
                <w:szCs w:val="21"/>
              </w:rPr>
            </w:pPr>
            <w:r>
              <w:rPr>
                <w:rFonts w:hint="eastAsia" w:ascii="宋体" w:hAnsi="宋体" w:eastAsia="宋体"/>
                <w:szCs w:val="21"/>
              </w:rPr>
              <w:t>5</w:t>
            </w:r>
          </w:p>
        </w:tc>
        <w:tc>
          <w:tcPr>
            <w:tcW w:w="5954" w:type="dxa"/>
            <w:vAlign w:val="center"/>
          </w:tcPr>
          <w:p w14:paraId="05CDBBEF">
            <w:pPr>
              <w:rPr>
                <w:rFonts w:ascii="宋体" w:hAnsi="宋体" w:eastAsia="宋体"/>
                <w:szCs w:val="21"/>
              </w:rPr>
            </w:pPr>
            <w:r>
              <w:rPr>
                <w:rFonts w:hint="eastAsia" w:ascii="宋体" w:hAnsi="宋体" w:eastAsia="宋体"/>
                <w:bCs/>
              </w:rPr>
              <w:t>具有良好的商业信誉和健全的财务会计制度：提供书面承诺声明函，格式自拟。</w:t>
            </w:r>
          </w:p>
        </w:tc>
        <w:tc>
          <w:tcPr>
            <w:tcW w:w="567" w:type="dxa"/>
          </w:tcPr>
          <w:p w14:paraId="1425AD58">
            <w:pPr>
              <w:spacing w:line="312" w:lineRule="auto"/>
              <w:rPr>
                <w:rFonts w:ascii="宋体" w:hAnsi="宋体" w:eastAsia="宋体"/>
                <w:szCs w:val="21"/>
              </w:rPr>
            </w:pPr>
          </w:p>
        </w:tc>
        <w:tc>
          <w:tcPr>
            <w:tcW w:w="567" w:type="dxa"/>
          </w:tcPr>
          <w:p w14:paraId="14ADDD13">
            <w:pPr>
              <w:spacing w:line="312" w:lineRule="auto"/>
              <w:rPr>
                <w:rFonts w:ascii="宋体" w:hAnsi="宋体" w:eastAsia="宋体"/>
                <w:szCs w:val="21"/>
              </w:rPr>
            </w:pPr>
          </w:p>
        </w:tc>
        <w:tc>
          <w:tcPr>
            <w:tcW w:w="709" w:type="dxa"/>
          </w:tcPr>
          <w:p w14:paraId="238A678D">
            <w:pPr>
              <w:spacing w:line="312" w:lineRule="auto"/>
              <w:rPr>
                <w:rFonts w:ascii="宋体" w:hAnsi="宋体" w:eastAsia="宋体"/>
                <w:szCs w:val="21"/>
              </w:rPr>
            </w:pPr>
          </w:p>
        </w:tc>
        <w:tc>
          <w:tcPr>
            <w:tcW w:w="567" w:type="dxa"/>
          </w:tcPr>
          <w:p w14:paraId="2AD65518">
            <w:pPr>
              <w:spacing w:line="312" w:lineRule="auto"/>
              <w:rPr>
                <w:rFonts w:ascii="宋体" w:hAnsi="宋体" w:eastAsia="宋体"/>
                <w:szCs w:val="21"/>
              </w:rPr>
            </w:pPr>
          </w:p>
        </w:tc>
      </w:tr>
      <w:tr w14:paraId="36E640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471" w:type="dxa"/>
            <w:vMerge w:val="continue"/>
          </w:tcPr>
          <w:p w14:paraId="56CB2BCB">
            <w:pPr>
              <w:spacing w:line="240" w:lineRule="exact"/>
              <w:rPr>
                <w:rFonts w:ascii="宋体" w:hAnsi="宋体" w:eastAsia="宋体"/>
                <w:szCs w:val="21"/>
              </w:rPr>
            </w:pPr>
          </w:p>
        </w:tc>
        <w:tc>
          <w:tcPr>
            <w:tcW w:w="567" w:type="dxa"/>
            <w:vAlign w:val="center"/>
          </w:tcPr>
          <w:p w14:paraId="5BEC0BAB">
            <w:pPr>
              <w:spacing w:line="312" w:lineRule="auto"/>
              <w:jc w:val="center"/>
              <w:rPr>
                <w:rFonts w:ascii="宋体" w:hAnsi="宋体" w:eastAsia="宋体"/>
                <w:szCs w:val="21"/>
              </w:rPr>
            </w:pPr>
            <w:r>
              <w:rPr>
                <w:rFonts w:hint="eastAsia" w:ascii="宋体" w:hAnsi="宋体" w:eastAsia="宋体"/>
                <w:szCs w:val="21"/>
              </w:rPr>
              <w:t>6</w:t>
            </w:r>
          </w:p>
        </w:tc>
        <w:tc>
          <w:tcPr>
            <w:tcW w:w="5954" w:type="dxa"/>
            <w:vAlign w:val="center"/>
          </w:tcPr>
          <w:p w14:paraId="77EE46E0">
            <w:pPr>
              <w:rPr>
                <w:rFonts w:ascii="宋体" w:hAnsi="宋体" w:eastAsia="宋体"/>
                <w:szCs w:val="21"/>
              </w:rPr>
            </w:pPr>
            <w:r>
              <w:rPr>
                <w:rFonts w:hint="eastAsia" w:ascii="宋体" w:hAnsi="宋体" w:eastAsia="宋体"/>
                <w:bCs/>
              </w:rPr>
              <w:t>履行合同所必需的设备和专业技术能力：提供设备及专业技术能力情况或承诺函。</w:t>
            </w:r>
          </w:p>
        </w:tc>
        <w:tc>
          <w:tcPr>
            <w:tcW w:w="567" w:type="dxa"/>
          </w:tcPr>
          <w:p w14:paraId="01A3D1AD">
            <w:pPr>
              <w:spacing w:line="312" w:lineRule="auto"/>
              <w:rPr>
                <w:rFonts w:ascii="宋体" w:hAnsi="宋体" w:eastAsia="宋体"/>
                <w:szCs w:val="21"/>
              </w:rPr>
            </w:pPr>
          </w:p>
        </w:tc>
        <w:tc>
          <w:tcPr>
            <w:tcW w:w="567" w:type="dxa"/>
          </w:tcPr>
          <w:p w14:paraId="21273C16">
            <w:pPr>
              <w:spacing w:line="312" w:lineRule="auto"/>
              <w:rPr>
                <w:rFonts w:ascii="宋体" w:hAnsi="宋体" w:eastAsia="宋体"/>
                <w:szCs w:val="21"/>
              </w:rPr>
            </w:pPr>
          </w:p>
        </w:tc>
        <w:tc>
          <w:tcPr>
            <w:tcW w:w="709" w:type="dxa"/>
          </w:tcPr>
          <w:p w14:paraId="05EE90E5">
            <w:pPr>
              <w:spacing w:line="312" w:lineRule="auto"/>
              <w:rPr>
                <w:rFonts w:ascii="宋体" w:hAnsi="宋体" w:eastAsia="宋体"/>
                <w:szCs w:val="21"/>
              </w:rPr>
            </w:pPr>
          </w:p>
        </w:tc>
        <w:tc>
          <w:tcPr>
            <w:tcW w:w="567" w:type="dxa"/>
          </w:tcPr>
          <w:p w14:paraId="0F38C63A">
            <w:pPr>
              <w:spacing w:line="312" w:lineRule="auto"/>
              <w:rPr>
                <w:rFonts w:ascii="宋体" w:hAnsi="宋体" w:eastAsia="宋体"/>
                <w:szCs w:val="21"/>
              </w:rPr>
            </w:pPr>
          </w:p>
        </w:tc>
      </w:tr>
      <w:tr w14:paraId="0F28F6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471" w:type="dxa"/>
            <w:vMerge w:val="continue"/>
          </w:tcPr>
          <w:p w14:paraId="5A94FC8E">
            <w:pPr>
              <w:spacing w:line="240" w:lineRule="exact"/>
              <w:rPr>
                <w:rFonts w:ascii="宋体" w:hAnsi="宋体" w:eastAsia="宋体"/>
                <w:szCs w:val="21"/>
              </w:rPr>
            </w:pPr>
          </w:p>
        </w:tc>
        <w:tc>
          <w:tcPr>
            <w:tcW w:w="567" w:type="dxa"/>
            <w:vAlign w:val="center"/>
          </w:tcPr>
          <w:p w14:paraId="3CEAAA62">
            <w:pPr>
              <w:spacing w:line="312" w:lineRule="auto"/>
              <w:jc w:val="center"/>
              <w:rPr>
                <w:rFonts w:ascii="宋体" w:hAnsi="宋体" w:eastAsia="宋体"/>
                <w:szCs w:val="21"/>
              </w:rPr>
            </w:pPr>
            <w:r>
              <w:rPr>
                <w:rFonts w:hint="eastAsia" w:ascii="宋体" w:hAnsi="宋体" w:eastAsia="宋体"/>
                <w:szCs w:val="21"/>
              </w:rPr>
              <w:t>7</w:t>
            </w:r>
          </w:p>
        </w:tc>
        <w:tc>
          <w:tcPr>
            <w:tcW w:w="5954" w:type="dxa"/>
            <w:vAlign w:val="center"/>
          </w:tcPr>
          <w:p w14:paraId="62FD924A">
            <w:pPr>
              <w:rPr>
                <w:rFonts w:ascii="宋体" w:hAnsi="宋体" w:eastAsia="宋体"/>
                <w:szCs w:val="21"/>
              </w:rPr>
            </w:pPr>
            <w:r>
              <w:rPr>
                <w:rFonts w:hint="eastAsia" w:ascii="宋体" w:hAnsi="宋体" w:eastAsia="宋体"/>
                <w:bCs/>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567" w:type="dxa"/>
          </w:tcPr>
          <w:p w14:paraId="227EEFF3">
            <w:pPr>
              <w:spacing w:line="312" w:lineRule="auto"/>
              <w:rPr>
                <w:rFonts w:ascii="宋体" w:hAnsi="宋体" w:eastAsia="宋体"/>
                <w:szCs w:val="21"/>
              </w:rPr>
            </w:pPr>
          </w:p>
        </w:tc>
        <w:tc>
          <w:tcPr>
            <w:tcW w:w="567" w:type="dxa"/>
          </w:tcPr>
          <w:p w14:paraId="6221CA8C">
            <w:pPr>
              <w:spacing w:line="312" w:lineRule="auto"/>
              <w:rPr>
                <w:rFonts w:ascii="宋体" w:hAnsi="宋体" w:eastAsia="宋体"/>
                <w:szCs w:val="21"/>
              </w:rPr>
            </w:pPr>
          </w:p>
        </w:tc>
        <w:tc>
          <w:tcPr>
            <w:tcW w:w="709" w:type="dxa"/>
          </w:tcPr>
          <w:p w14:paraId="5F046182">
            <w:pPr>
              <w:spacing w:line="312" w:lineRule="auto"/>
              <w:rPr>
                <w:rFonts w:ascii="宋体" w:hAnsi="宋体" w:eastAsia="宋体"/>
                <w:szCs w:val="21"/>
              </w:rPr>
            </w:pPr>
          </w:p>
        </w:tc>
        <w:tc>
          <w:tcPr>
            <w:tcW w:w="567" w:type="dxa"/>
          </w:tcPr>
          <w:p w14:paraId="4A468EA4">
            <w:pPr>
              <w:spacing w:line="312" w:lineRule="auto"/>
              <w:rPr>
                <w:rFonts w:ascii="宋体" w:hAnsi="宋体" w:eastAsia="宋体"/>
                <w:szCs w:val="21"/>
              </w:rPr>
            </w:pPr>
          </w:p>
        </w:tc>
      </w:tr>
      <w:tr w14:paraId="59696B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471" w:type="dxa"/>
            <w:vMerge w:val="continue"/>
          </w:tcPr>
          <w:p w14:paraId="76C4A7D8">
            <w:pPr>
              <w:spacing w:line="240" w:lineRule="exact"/>
              <w:rPr>
                <w:rFonts w:ascii="宋体" w:hAnsi="宋体" w:eastAsia="宋体"/>
                <w:szCs w:val="21"/>
              </w:rPr>
            </w:pPr>
          </w:p>
        </w:tc>
        <w:tc>
          <w:tcPr>
            <w:tcW w:w="567" w:type="dxa"/>
            <w:vAlign w:val="center"/>
          </w:tcPr>
          <w:p w14:paraId="7BE3D1DD">
            <w:pPr>
              <w:spacing w:line="312" w:lineRule="auto"/>
              <w:jc w:val="center"/>
              <w:rPr>
                <w:rFonts w:ascii="宋体" w:hAnsi="宋体" w:eastAsia="宋体"/>
                <w:szCs w:val="21"/>
              </w:rPr>
            </w:pPr>
            <w:r>
              <w:rPr>
                <w:rFonts w:hint="eastAsia" w:ascii="宋体" w:hAnsi="宋体" w:eastAsia="宋体"/>
                <w:szCs w:val="21"/>
              </w:rPr>
              <w:t>8</w:t>
            </w:r>
          </w:p>
        </w:tc>
        <w:tc>
          <w:tcPr>
            <w:tcW w:w="5954" w:type="dxa"/>
            <w:vAlign w:val="center"/>
          </w:tcPr>
          <w:p w14:paraId="3C8A35D5">
            <w:pPr>
              <w:rPr>
                <w:rFonts w:ascii="宋体" w:hAnsi="宋体" w:eastAsia="宋体"/>
                <w:szCs w:val="21"/>
              </w:rPr>
            </w:pPr>
            <w:r>
              <w:rPr>
                <w:rFonts w:hint="eastAsia" w:ascii="宋体" w:hAnsi="宋体" w:eastAsia="宋体"/>
                <w:bCs/>
              </w:rPr>
              <w:t>供应商未被列入“信用中国”网站(www.creditchina.gov.cn)“重大税收违法失信、政府采购严重违法失信”记录名单；中国执行信息公开网（http://zxgk.court.gov.cn）“失信被执行人”记录名单；不处于中国政府采购网(www.ccgp.gov.cn)“政府采购严重违法失信行为信息记录”中的禁止参加政府采购活动期间。【在“信用中国”网站（www.creditchina.gov.cn ）、中国执行信息公开网（http://zxgk.court.gov.cn）及中国政府采购网(www.ccgp.gov.cn )查询结果以投标人提供截图并加盖公章为准，如相关失信记录已失效，投标人需提供相关证明资料】</w:t>
            </w:r>
          </w:p>
        </w:tc>
        <w:tc>
          <w:tcPr>
            <w:tcW w:w="567" w:type="dxa"/>
          </w:tcPr>
          <w:p w14:paraId="45A5036C">
            <w:pPr>
              <w:spacing w:line="312" w:lineRule="auto"/>
              <w:rPr>
                <w:rFonts w:ascii="宋体" w:hAnsi="宋体" w:eastAsia="宋体"/>
                <w:szCs w:val="21"/>
              </w:rPr>
            </w:pPr>
          </w:p>
        </w:tc>
        <w:tc>
          <w:tcPr>
            <w:tcW w:w="567" w:type="dxa"/>
          </w:tcPr>
          <w:p w14:paraId="5FE05995">
            <w:pPr>
              <w:spacing w:line="312" w:lineRule="auto"/>
              <w:rPr>
                <w:rFonts w:ascii="宋体" w:hAnsi="宋体" w:eastAsia="宋体"/>
                <w:szCs w:val="21"/>
              </w:rPr>
            </w:pPr>
          </w:p>
        </w:tc>
        <w:tc>
          <w:tcPr>
            <w:tcW w:w="709" w:type="dxa"/>
          </w:tcPr>
          <w:p w14:paraId="241E754B">
            <w:pPr>
              <w:spacing w:line="312" w:lineRule="auto"/>
              <w:rPr>
                <w:rFonts w:ascii="宋体" w:hAnsi="宋体" w:eastAsia="宋体"/>
                <w:szCs w:val="21"/>
              </w:rPr>
            </w:pPr>
          </w:p>
        </w:tc>
        <w:tc>
          <w:tcPr>
            <w:tcW w:w="567" w:type="dxa"/>
          </w:tcPr>
          <w:p w14:paraId="5A5A3D0E">
            <w:pPr>
              <w:spacing w:line="312" w:lineRule="auto"/>
              <w:rPr>
                <w:rFonts w:ascii="宋体" w:hAnsi="宋体" w:eastAsia="宋体"/>
                <w:szCs w:val="21"/>
              </w:rPr>
            </w:pPr>
          </w:p>
        </w:tc>
      </w:tr>
      <w:tr w14:paraId="5053EF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471" w:type="dxa"/>
            <w:vMerge w:val="continue"/>
          </w:tcPr>
          <w:p w14:paraId="179A35F7">
            <w:pPr>
              <w:spacing w:line="240" w:lineRule="exact"/>
              <w:rPr>
                <w:rFonts w:ascii="宋体" w:hAnsi="宋体" w:eastAsia="宋体"/>
                <w:szCs w:val="21"/>
              </w:rPr>
            </w:pPr>
          </w:p>
        </w:tc>
        <w:tc>
          <w:tcPr>
            <w:tcW w:w="567" w:type="dxa"/>
            <w:vAlign w:val="center"/>
          </w:tcPr>
          <w:p w14:paraId="4877FBE8">
            <w:pPr>
              <w:spacing w:line="312" w:lineRule="auto"/>
              <w:jc w:val="center"/>
              <w:rPr>
                <w:rFonts w:ascii="宋体" w:hAnsi="宋体" w:eastAsia="宋体"/>
                <w:szCs w:val="21"/>
              </w:rPr>
            </w:pPr>
            <w:r>
              <w:rPr>
                <w:rFonts w:hint="eastAsia" w:ascii="宋体" w:hAnsi="宋体" w:eastAsia="宋体"/>
                <w:szCs w:val="21"/>
              </w:rPr>
              <w:t>9</w:t>
            </w:r>
          </w:p>
        </w:tc>
        <w:tc>
          <w:tcPr>
            <w:tcW w:w="5954" w:type="dxa"/>
            <w:vAlign w:val="center"/>
          </w:tcPr>
          <w:p w14:paraId="33B50384">
            <w:pPr>
              <w:rPr>
                <w:rFonts w:ascii="宋体" w:hAnsi="宋体" w:eastAsia="宋体"/>
                <w:bCs/>
              </w:rPr>
            </w:pPr>
            <w:r>
              <w:rPr>
                <w:rFonts w:hint="eastAsia" w:ascii="宋体" w:hAnsi="宋体" w:eastAsia="宋体"/>
                <w:bCs/>
              </w:rPr>
              <w:t>单位负责人为同一人或者存在直接控股、管理关系的不同供应商，不得同时参加本采购项目投标。为本项目提供规范编制或者项目管理、检测等服务的供应商，不得再参与本项目投标。（提供书面承诺声明函，格式自拟。）</w:t>
            </w:r>
          </w:p>
        </w:tc>
        <w:tc>
          <w:tcPr>
            <w:tcW w:w="567" w:type="dxa"/>
          </w:tcPr>
          <w:p w14:paraId="5A615166">
            <w:pPr>
              <w:spacing w:line="312" w:lineRule="auto"/>
              <w:rPr>
                <w:rFonts w:ascii="宋体" w:hAnsi="宋体" w:eastAsia="宋体"/>
                <w:szCs w:val="21"/>
              </w:rPr>
            </w:pPr>
          </w:p>
        </w:tc>
        <w:tc>
          <w:tcPr>
            <w:tcW w:w="567" w:type="dxa"/>
          </w:tcPr>
          <w:p w14:paraId="083F5AA9">
            <w:pPr>
              <w:spacing w:line="312" w:lineRule="auto"/>
              <w:rPr>
                <w:rFonts w:ascii="宋体" w:hAnsi="宋体" w:eastAsia="宋体"/>
                <w:szCs w:val="21"/>
              </w:rPr>
            </w:pPr>
          </w:p>
        </w:tc>
        <w:tc>
          <w:tcPr>
            <w:tcW w:w="709" w:type="dxa"/>
          </w:tcPr>
          <w:p w14:paraId="65856481">
            <w:pPr>
              <w:spacing w:line="312" w:lineRule="auto"/>
              <w:rPr>
                <w:rFonts w:ascii="宋体" w:hAnsi="宋体" w:eastAsia="宋体"/>
                <w:szCs w:val="21"/>
              </w:rPr>
            </w:pPr>
          </w:p>
        </w:tc>
        <w:tc>
          <w:tcPr>
            <w:tcW w:w="567" w:type="dxa"/>
          </w:tcPr>
          <w:p w14:paraId="589F48F3">
            <w:pPr>
              <w:spacing w:line="312" w:lineRule="auto"/>
              <w:rPr>
                <w:rFonts w:ascii="宋体" w:hAnsi="宋体" w:eastAsia="宋体"/>
                <w:szCs w:val="21"/>
              </w:rPr>
            </w:pPr>
          </w:p>
        </w:tc>
      </w:tr>
      <w:tr w14:paraId="25C62D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71" w:type="dxa"/>
            <w:vMerge w:val="continue"/>
          </w:tcPr>
          <w:p w14:paraId="5C344ACF">
            <w:pPr>
              <w:spacing w:line="240" w:lineRule="exact"/>
              <w:rPr>
                <w:rFonts w:ascii="宋体" w:hAnsi="宋体" w:eastAsia="宋体"/>
                <w:szCs w:val="21"/>
              </w:rPr>
            </w:pPr>
          </w:p>
        </w:tc>
        <w:tc>
          <w:tcPr>
            <w:tcW w:w="567" w:type="dxa"/>
            <w:vAlign w:val="center"/>
          </w:tcPr>
          <w:p w14:paraId="5844D611">
            <w:pPr>
              <w:spacing w:line="312" w:lineRule="auto"/>
              <w:jc w:val="center"/>
              <w:rPr>
                <w:rFonts w:ascii="宋体" w:hAnsi="宋体" w:eastAsia="宋体"/>
                <w:szCs w:val="21"/>
              </w:rPr>
            </w:pPr>
            <w:r>
              <w:rPr>
                <w:rFonts w:hint="eastAsia" w:ascii="宋体" w:hAnsi="宋体" w:eastAsia="宋体"/>
                <w:szCs w:val="21"/>
              </w:rPr>
              <w:t>10</w:t>
            </w:r>
          </w:p>
        </w:tc>
        <w:tc>
          <w:tcPr>
            <w:tcW w:w="5954" w:type="dxa"/>
            <w:vAlign w:val="center"/>
          </w:tcPr>
          <w:p w14:paraId="3A598B41">
            <w:pPr>
              <w:spacing w:line="240" w:lineRule="exact"/>
              <w:rPr>
                <w:rFonts w:ascii="宋体" w:hAnsi="宋体" w:eastAsia="宋体"/>
                <w:bCs/>
              </w:rPr>
            </w:pPr>
            <w:r>
              <w:rPr>
                <w:rFonts w:hint="eastAsia" w:ascii="宋体" w:hAnsi="宋体" w:eastAsia="宋体"/>
                <w:bCs/>
              </w:rPr>
              <w:t>具有有效期内的《食品经营许可证》。（国家另有规定的，从其规定）</w:t>
            </w:r>
          </w:p>
        </w:tc>
        <w:tc>
          <w:tcPr>
            <w:tcW w:w="567" w:type="dxa"/>
          </w:tcPr>
          <w:p w14:paraId="733E3DE3">
            <w:pPr>
              <w:spacing w:line="312" w:lineRule="auto"/>
              <w:rPr>
                <w:rFonts w:ascii="宋体" w:hAnsi="宋体" w:eastAsia="宋体"/>
                <w:szCs w:val="21"/>
              </w:rPr>
            </w:pPr>
          </w:p>
        </w:tc>
        <w:tc>
          <w:tcPr>
            <w:tcW w:w="567" w:type="dxa"/>
          </w:tcPr>
          <w:p w14:paraId="37D87F9D">
            <w:pPr>
              <w:spacing w:line="312" w:lineRule="auto"/>
              <w:rPr>
                <w:rFonts w:ascii="宋体" w:hAnsi="宋体" w:eastAsia="宋体"/>
                <w:szCs w:val="21"/>
              </w:rPr>
            </w:pPr>
          </w:p>
        </w:tc>
        <w:tc>
          <w:tcPr>
            <w:tcW w:w="709" w:type="dxa"/>
          </w:tcPr>
          <w:p w14:paraId="5F09A26D">
            <w:pPr>
              <w:spacing w:line="312" w:lineRule="auto"/>
              <w:rPr>
                <w:rFonts w:ascii="宋体" w:hAnsi="宋体" w:eastAsia="宋体"/>
                <w:szCs w:val="21"/>
              </w:rPr>
            </w:pPr>
          </w:p>
        </w:tc>
        <w:tc>
          <w:tcPr>
            <w:tcW w:w="567" w:type="dxa"/>
          </w:tcPr>
          <w:p w14:paraId="119715C4">
            <w:pPr>
              <w:spacing w:line="312" w:lineRule="auto"/>
              <w:rPr>
                <w:rFonts w:ascii="宋体" w:hAnsi="宋体" w:eastAsia="宋体"/>
                <w:szCs w:val="21"/>
              </w:rPr>
            </w:pPr>
          </w:p>
        </w:tc>
      </w:tr>
      <w:tr w14:paraId="4161BC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471" w:type="dxa"/>
            <w:vMerge w:val="continue"/>
          </w:tcPr>
          <w:p w14:paraId="1BEC7ACE">
            <w:pPr>
              <w:spacing w:line="240" w:lineRule="exact"/>
              <w:rPr>
                <w:rFonts w:ascii="宋体" w:hAnsi="宋体" w:eastAsia="宋体"/>
                <w:szCs w:val="21"/>
              </w:rPr>
            </w:pPr>
          </w:p>
        </w:tc>
        <w:tc>
          <w:tcPr>
            <w:tcW w:w="567" w:type="dxa"/>
            <w:vAlign w:val="center"/>
          </w:tcPr>
          <w:p w14:paraId="187108EC">
            <w:pPr>
              <w:spacing w:line="312" w:lineRule="auto"/>
              <w:jc w:val="center"/>
              <w:rPr>
                <w:rFonts w:ascii="宋体" w:hAnsi="宋体" w:eastAsia="宋体"/>
                <w:szCs w:val="21"/>
              </w:rPr>
            </w:pPr>
            <w:r>
              <w:rPr>
                <w:rFonts w:hint="eastAsia" w:ascii="宋体" w:hAnsi="宋体" w:eastAsia="宋体"/>
                <w:szCs w:val="21"/>
              </w:rPr>
              <w:t>11</w:t>
            </w:r>
          </w:p>
        </w:tc>
        <w:tc>
          <w:tcPr>
            <w:tcW w:w="5954" w:type="dxa"/>
            <w:vAlign w:val="center"/>
          </w:tcPr>
          <w:p w14:paraId="54FD4861">
            <w:pPr>
              <w:spacing w:line="240" w:lineRule="exact"/>
              <w:rPr>
                <w:rFonts w:ascii="宋体" w:hAnsi="宋体" w:eastAsia="宋体"/>
                <w:szCs w:val="21"/>
              </w:rPr>
            </w:pPr>
            <w:r>
              <w:rPr>
                <w:rFonts w:hint="eastAsia" w:ascii="宋体" w:hAnsi="宋体" w:eastAsia="宋体"/>
                <w:szCs w:val="21"/>
              </w:rPr>
              <w:t>法定代表人授权委托书</w:t>
            </w:r>
          </w:p>
        </w:tc>
        <w:tc>
          <w:tcPr>
            <w:tcW w:w="567" w:type="dxa"/>
          </w:tcPr>
          <w:p w14:paraId="4EA534D4">
            <w:pPr>
              <w:spacing w:line="312" w:lineRule="auto"/>
              <w:rPr>
                <w:rFonts w:ascii="宋体" w:hAnsi="宋体" w:eastAsia="宋体"/>
                <w:szCs w:val="21"/>
              </w:rPr>
            </w:pPr>
          </w:p>
        </w:tc>
        <w:tc>
          <w:tcPr>
            <w:tcW w:w="567" w:type="dxa"/>
          </w:tcPr>
          <w:p w14:paraId="625E54E5">
            <w:pPr>
              <w:spacing w:line="312" w:lineRule="auto"/>
              <w:rPr>
                <w:rFonts w:ascii="宋体" w:hAnsi="宋体" w:eastAsia="宋体"/>
                <w:szCs w:val="21"/>
              </w:rPr>
            </w:pPr>
          </w:p>
        </w:tc>
        <w:tc>
          <w:tcPr>
            <w:tcW w:w="709" w:type="dxa"/>
          </w:tcPr>
          <w:p w14:paraId="429A0E24">
            <w:pPr>
              <w:spacing w:line="312" w:lineRule="auto"/>
              <w:rPr>
                <w:rFonts w:ascii="宋体" w:hAnsi="宋体" w:eastAsia="宋体"/>
                <w:szCs w:val="21"/>
              </w:rPr>
            </w:pPr>
          </w:p>
        </w:tc>
        <w:tc>
          <w:tcPr>
            <w:tcW w:w="567" w:type="dxa"/>
          </w:tcPr>
          <w:p w14:paraId="2DBDC2FC">
            <w:pPr>
              <w:spacing w:line="312" w:lineRule="auto"/>
              <w:rPr>
                <w:rFonts w:ascii="宋体" w:hAnsi="宋体" w:eastAsia="宋体"/>
                <w:szCs w:val="21"/>
              </w:rPr>
            </w:pPr>
          </w:p>
        </w:tc>
      </w:tr>
      <w:tr w14:paraId="024479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471" w:type="dxa"/>
            <w:vMerge w:val="continue"/>
          </w:tcPr>
          <w:p w14:paraId="6503A2F5">
            <w:pPr>
              <w:spacing w:line="240" w:lineRule="exact"/>
              <w:rPr>
                <w:rFonts w:ascii="宋体" w:hAnsi="宋体" w:eastAsia="宋体"/>
                <w:szCs w:val="21"/>
              </w:rPr>
            </w:pPr>
          </w:p>
        </w:tc>
        <w:tc>
          <w:tcPr>
            <w:tcW w:w="567" w:type="dxa"/>
            <w:vAlign w:val="center"/>
          </w:tcPr>
          <w:p w14:paraId="7EB358E1">
            <w:pPr>
              <w:spacing w:line="312" w:lineRule="auto"/>
              <w:jc w:val="center"/>
              <w:rPr>
                <w:rFonts w:ascii="宋体" w:hAnsi="宋体" w:eastAsia="宋体"/>
                <w:szCs w:val="21"/>
              </w:rPr>
            </w:pPr>
            <w:r>
              <w:rPr>
                <w:rFonts w:hint="eastAsia" w:ascii="宋体" w:hAnsi="宋体" w:eastAsia="宋体"/>
                <w:szCs w:val="21"/>
              </w:rPr>
              <w:t>12</w:t>
            </w:r>
          </w:p>
        </w:tc>
        <w:tc>
          <w:tcPr>
            <w:tcW w:w="5954" w:type="dxa"/>
            <w:vAlign w:val="center"/>
          </w:tcPr>
          <w:p w14:paraId="5A043781">
            <w:pPr>
              <w:spacing w:line="240" w:lineRule="exact"/>
              <w:rPr>
                <w:rFonts w:ascii="宋体" w:hAnsi="宋体" w:eastAsia="宋体"/>
                <w:szCs w:val="21"/>
              </w:rPr>
            </w:pPr>
            <w:r>
              <w:rPr>
                <w:rFonts w:hint="eastAsia" w:ascii="宋体" w:hAnsi="宋体" w:eastAsia="宋体"/>
                <w:szCs w:val="21"/>
              </w:rPr>
              <w:t>法定代表人证明书</w:t>
            </w:r>
          </w:p>
        </w:tc>
        <w:tc>
          <w:tcPr>
            <w:tcW w:w="567" w:type="dxa"/>
          </w:tcPr>
          <w:p w14:paraId="0C9DBD74">
            <w:pPr>
              <w:spacing w:line="312" w:lineRule="auto"/>
              <w:rPr>
                <w:rFonts w:ascii="宋体" w:hAnsi="宋体" w:eastAsia="宋体"/>
                <w:szCs w:val="21"/>
              </w:rPr>
            </w:pPr>
          </w:p>
        </w:tc>
        <w:tc>
          <w:tcPr>
            <w:tcW w:w="567" w:type="dxa"/>
          </w:tcPr>
          <w:p w14:paraId="1B64F426">
            <w:pPr>
              <w:spacing w:line="312" w:lineRule="auto"/>
              <w:rPr>
                <w:rFonts w:ascii="宋体" w:hAnsi="宋体" w:eastAsia="宋体"/>
                <w:szCs w:val="21"/>
              </w:rPr>
            </w:pPr>
          </w:p>
        </w:tc>
        <w:tc>
          <w:tcPr>
            <w:tcW w:w="709" w:type="dxa"/>
          </w:tcPr>
          <w:p w14:paraId="75C1A843">
            <w:pPr>
              <w:spacing w:line="312" w:lineRule="auto"/>
              <w:rPr>
                <w:rFonts w:ascii="宋体" w:hAnsi="宋体" w:eastAsia="宋体"/>
                <w:szCs w:val="21"/>
              </w:rPr>
            </w:pPr>
          </w:p>
        </w:tc>
        <w:tc>
          <w:tcPr>
            <w:tcW w:w="567" w:type="dxa"/>
          </w:tcPr>
          <w:p w14:paraId="2273D6ED">
            <w:pPr>
              <w:spacing w:line="312" w:lineRule="auto"/>
              <w:rPr>
                <w:rFonts w:ascii="宋体" w:hAnsi="宋体" w:eastAsia="宋体"/>
                <w:szCs w:val="21"/>
              </w:rPr>
            </w:pPr>
          </w:p>
        </w:tc>
      </w:tr>
      <w:tr w14:paraId="354B15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1471" w:type="dxa"/>
            <w:vMerge w:val="continue"/>
          </w:tcPr>
          <w:p w14:paraId="3A6DBBCC">
            <w:pPr>
              <w:spacing w:line="240" w:lineRule="exact"/>
              <w:rPr>
                <w:rFonts w:ascii="宋体" w:hAnsi="宋体" w:eastAsia="宋体"/>
                <w:szCs w:val="21"/>
              </w:rPr>
            </w:pPr>
          </w:p>
        </w:tc>
        <w:tc>
          <w:tcPr>
            <w:tcW w:w="567" w:type="dxa"/>
            <w:vAlign w:val="center"/>
          </w:tcPr>
          <w:p w14:paraId="07CEC840">
            <w:pPr>
              <w:spacing w:line="312" w:lineRule="auto"/>
              <w:jc w:val="center"/>
              <w:rPr>
                <w:rFonts w:ascii="宋体" w:hAnsi="宋体" w:eastAsia="宋体"/>
                <w:szCs w:val="21"/>
              </w:rPr>
            </w:pPr>
            <w:r>
              <w:rPr>
                <w:rFonts w:hint="eastAsia" w:ascii="宋体" w:hAnsi="宋体" w:eastAsia="宋体"/>
                <w:szCs w:val="21"/>
              </w:rPr>
              <w:t>13</w:t>
            </w:r>
          </w:p>
        </w:tc>
        <w:tc>
          <w:tcPr>
            <w:tcW w:w="5954" w:type="dxa"/>
            <w:vAlign w:val="center"/>
          </w:tcPr>
          <w:p w14:paraId="04712F55">
            <w:pPr>
              <w:spacing w:line="240" w:lineRule="exact"/>
              <w:rPr>
                <w:rFonts w:ascii="宋体" w:hAnsi="宋体" w:eastAsia="宋体"/>
                <w:szCs w:val="21"/>
              </w:rPr>
            </w:pPr>
            <w:r>
              <w:rPr>
                <w:rFonts w:hint="eastAsia" w:ascii="宋体" w:hAnsi="宋体" w:eastAsia="宋体"/>
                <w:szCs w:val="21"/>
              </w:rPr>
              <w:t>实质性条款响应一览表及其附件</w:t>
            </w:r>
          </w:p>
        </w:tc>
        <w:tc>
          <w:tcPr>
            <w:tcW w:w="567" w:type="dxa"/>
          </w:tcPr>
          <w:p w14:paraId="5F90D023">
            <w:pPr>
              <w:spacing w:line="312" w:lineRule="auto"/>
              <w:rPr>
                <w:rFonts w:ascii="宋体" w:hAnsi="宋体" w:eastAsia="宋体"/>
                <w:szCs w:val="21"/>
              </w:rPr>
            </w:pPr>
          </w:p>
        </w:tc>
        <w:tc>
          <w:tcPr>
            <w:tcW w:w="567" w:type="dxa"/>
          </w:tcPr>
          <w:p w14:paraId="0568B0C4">
            <w:pPr>
              <w:spacing w:line="312" w:lineRule="auto"/>
              <w:rPr>
                <w:rFonts w:ascii="宋体" w:hAnsi="宋体" w:eastAsia="宋体"/>
                <w:szCs w:val="21"/>
              </w:rPr>
            </w:pPr>
          </w:p>
        </w:tc>
        <w:tc>
          <w:tcPr>
            <w:tcW w:w="709" w:type="dxa"/>
          </w:tcPr>
          <w:p w14:paraId="607F6B0B">
            <w:pPr>
              <w:spacing w:line="312" w:lineRule="auto"/>
              <w:rPr>
                <w:rFonts w:ascii="宋体" w:hAnsi="宋体" w:eastAsia="宋体"/>
                <w:szCs w:val="21"/>
              </w:rPr>
            </w:pPr>
          </w:p>
        </w:tc>
        <w:tc>
          <w:tcPr>
            <w:tcW w:w="567" w:type="dxa"/>
          </w:tcPr>
          <w:p w14:paraId="270E4827">
            <w:pPr>
              <w:spacing w:line="312" w:lineRule="auto"/>
              <w:rPr>
                <w:rFonts w:ascii="宋体" w:hAnsi="宋体" w:eastAsia="宋体"/>
                <w:szCs w:val="21"/>
              </w:rPr>
            </w:pPr>
          </w:p>
        </w:tc>
      </w:tr>
      <w:tr w14:paraId="102CDE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471" w:type="dxa"/>
            <w:vMerge w:val="continue"/>
          </w:tcPr>
          <w:p w14:paraId="513E7D4F">
            <w:pPr>
              <w:spacing w:line="240" w:lineRule="exact"/>
              <w:rPr>
                <w:rFonts w:ascii="宋体" w:hAnsi="宋体" w:eastAsia="宋体"/>
                <w:szCs w:val="21"/>
              </w:rPr>
            </w:pPr>
          </w:p>
        </w:tc>
        <w:tc>
          <w:tcPr>
            <w:tcW w:w="567" w:type="dxa"/>
            <w:vAlign w:val="center"/>
          </w:tcPr>
          <w:p w14:paraId="0BEA51D7">
            <w:pPr>
              <w:spacing w:line="312" w:lineRule="auto"/>
              <w:jc w:val="center"/>
              <w:rPr>
                <w:rFonts w:ascii="宋体" w:hAnsi="宋体" w:eastAsia="宋体"/>
                <w:szCs w:val="21"/>
              </w:rPr>
            </w:pPr>
            <w:r>
              <w:rPr>
                <w:rFonts w:hint="eastAsia" w:ascii="宋体" w:hAnsi="宋体" w:eastAsia="宋体"/>
                <w:szCs w:val="21"/>
              </w:rPr>
              <w:t>14</w:t>
            </w:r>
          </w:p>
        </w:tc>
        <w:tc>
          <w:tcPr>
            <w:tcW w:w="5954" w:type="dxa"/>
            <w:vAlign w:val="center"/>
          </w:tcPr>
          <w:p w14:paraId="3933216B">
            <w:pPr>
              <w:spacing w:line="240" w:lineRule="exact"/>
              <w:rPr>
                <w:rFonts w:ascii="宋体" w:hAnsi="宋体" w:eastAsia="宋体"/>
                <w:szCs w:val="21"/>
              </w:rPr>
            </w:pPr>
            <w:r>
              <w:rPr>
                <w:rFonts w:hint="eastAsia" w:ascii="宋体" w:hAnsi="宋体" w:eastAsia="宋体"/>
                <w:szCs w:val="21"/>
              </w:rPr>
              <w:t>报价表（首次报价）</w:t>
            </w:r>
          </w:p>
        </w:tc>
        <w:tc>
          <w:tcPr>
            <w:tcW w:w="567" w:type="dxa"/>
          </w:tcPr>
          <w:p w14:paraId="61EA2735">
            <w:pPr>
              <w:spacing w:line="312" w:lineRule="auto"/>
              <w:rPr>
                <w:rFonts w:ascii="宋体" w:hAnsi="宋体" w:eastAsia="宋体"/>
                <w:szCs w:val="21"/>
              </w:rPr>
            </w:pPr>
          </w:p>
        </w:tc>
        <w:tc>
          <w:tcPr>
            <w:tcW w:w="567" w:type="dxa"/>
          </w:tcPr>
          <w:p w14:paraId="387C031C">
            <w:pPr>
              <w:spacing w:line="312" w:lineRule="auto"/>
              <w:rPr>
                <w:rFonts w:ascii="宋体" w:hAnsi="宋体" w:eastAsia="宋体"/>
                <w:szCs w:val="21"/>
              </w:rPr>
            </w:pPr>
          </w:p>
        </w:tc>
        <w:tc>
          <w:tcPr>
            <w:tcW w:w="709" w:type="dxa"/>
          </w:tcPr>
          <w:p w14:paraId="6EEC9927">
            <w:pPr>
              <w:spacing w:line="312" w:lineRule="auto"/>
              <w:rPr>
                <w:rFonts w:ascii="宋体" w:hAnsi="宋体" w:eastAsia="宋体"/>
                <w:szCs w:val="21"/>
              </w:rPr>
            </w:pPr>
          </w:p>
        </w:tc>
        <w:tc>
          <w:tcPr>
            <w:tcW w:w="567" w:type="dxa"/>
          </w:tcPr>
          <w:p w14:paraId="4BA4305C">
            <w:pPr>
              <w:spacing w:line="312" w:lineRule="auto"/>
              <w:rPr>
                <w:rFonts w:ascii="宋体" w:hAnsi="宋体" w:eastAsia="宋体"/>
                <w:szCs w:val="21"/>
              </w:rPr>
            </w:pPr>
          </w:p>
        </w:tc>
      </w:tr>
      <w:tr w14:paraId="6DF898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471" w:type="dxa"/>
            <w:vMerge w:val="continue"/>
          </w:tcPr>
          <w:p w14:paraId="6C9DDF99">
            <w:pPr>
              <w:spacing w:line="240" w:lineRule="exact"/>
              <w:rPr>
                <w:rFonts w:ascii="宋体" w:hAnsi="宋体" w:eastAsia="宋体"/>
                <w:szCs w:val="21"/>
              </w:rPr>
            </w:pPr>
          </w:p>
        </w:tc>
        <w:tc>
          <w:tcPr>
            <w:tcW w:w="567" w:type="dxa"/>
            <w:vAlign w:val="center"/>
          </w:tcPr>
          <w:p w14:paraId="3D5B6490">
            <w:pPr>
              <w:spacing w:line="312" w:lineRule="auto"/>
              <w:jc w:val="center"/>
              <w:rPr>
                <w:rFonts w:ascii="宋体" w:hAnsi="宋体" w:eastAsia="宋体"/>
                <w:szCs w:val="21"/>
              </w:rPr>
            </w:pPr>
            <w:r>
              <w:rPr>
                <w:rFonts w:hint="eastAsia" w:ascii="宋体" w:hAnsi="宋体" w:eastAsia="宋体"/>
                <w:szCs w:val="21"/>
              </w:rPr>
              <w:t>15</w:t>
            </w:r>
          </w:p>
        </w:tc>
        <w:tc>
          <w:tcPr>
            <w:tcW w:w="5954" w:type="dxa"/>
            <w:vAlign w:val="center"/>
          </w:tcPr>
          <w:p w14:paraId="6A49A4B3">
            <w:pPr>
              <w:spacing w:line="240" w:lineRule="exact"/>
              <w:rPr>
                <w:rFonts w:ascii="宋体" w:hAnsi="宋体" w:eastAsia="宋体"/>
                <w:szCs w:val="21"/>
              </w:rPr>
            </w:pPr>
            <w:r>
              <w:rPr>
                <w:rFonts w:hint="eastAsia" w:ascii="宋体" w:hAnsi="宋体" w:eastAsia="宋体"/>
                <w:szCs w:val="21"/>
              </w:rPr>
              <w:t>中小企业声明函</w:t>
            </w:r>
          </w:p>
        </w:tc>
        <w:tc>
          <w:tcPr>
            <w:tcW w:w="567" w:type="dxa"/>
          </w:tcPr>
          <w:p w14:paraId="4DE6C500">
            <w:pPr>
              <w:spacing w:line="312" w:lineRule="auto"/>
              <w:rPr>
                <w:rFonts w:ascii="宋体" w:hAnsi="宋体" w:eastAsia="宋体"/>
                <w:szCs w:val="21"/>
              </w:rPr>
            </w:pPr>
          </w:p>
        </w:tc>
        <w:tc>
          <w:tcPr>
            <w:tcW w:w="567" w:type="dxa"/>
          </w:tcPr>
          <w:p w14:paraId="2A4F0327">
            <w:pPr>
              <w:spacing w:line="312" w:lineRule="auto"/>
              <w:rPr>
                <w:rFonts w:ascii="宋体" w:hAnsi="宋体" w:eastAsia="宋体"/>
                <w:szCs w:val="21"/>
              </w:rPr>
            </w:pPr>
          </w:p>
        </w:tc>
        <w:tc>
          <w:tcPr>
            <w:tcW w:w="709" w:type="dxa"/>
          </w:tcPr>
          <w:p w14:paraId="5B60B772">
            <w:pPr>
              <w:spacing w:line="312" w:lineRule="auto"/>
              <w:rPr>
                <w:rFonts w:ascii="宋体" w:hAnsi="宋体" w:eastAsia="宋体"/>
                <w:szCs w:val="21"/>
              </w:rPr>
            </w:pPr>
          </w:p>
        </w:tc>
        <w:tc>
          <w:tcPr>
            <w:tcW w:w="567" w:type="dxa"/>
          </w:tcPr>
          <w:p w14:paraId="39AA83EE">
            <w:pPr>
              <w:spacing w:line="312" w:lineRule="auto"/>
              <w:rPr>
                <w:rFonts w:ascii="宋体" w:hAnsi="宋体" w:eastAsia="宋体"/>
                <w:szCs w:val="21"/>
              </w:rPr>
            </w:pPr>
          </w:p>
        </w:tc>
      </w:tr>
      <w:tr w14:paraId="6DAF57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1471" w:type="dxa"/>
            <w:vMerge w:val="restart"/>
            <w:vAlign w:val="center"/>
          </w:tcPr>
          <w:p w14:paraId="5AE371EC">
            <w:pPr>
              <w:spacing w:line="240" w:lineRule="exact"/>
              <w:jc w:val="center"/>
              <w:rPr>
                <w:rFonts w:ascii="宋体" w:hAnsi="宋体" w:eastAsia="宋体"/>
                <w:szCs w:val="21"/>
              </w:rPr>
            </w:pPr>
            <w:r>
              <w:rPr>
                <w:rFonts w:hint="eastAsia" w:ascii="宋体" w:hAnsi="宋体" w:eastAsia="宋体"/>
                <w:szCs w:val="21"/>
              </w:rPr>
              <w:t>响应供应商应提交的技术文件（加盖响应供应商公章）</w:t>
            </w:r>
          </w:p>
        </w:tc>
        <w:tc>
          <w:tcPr>
            <w:tcW w:w="567" w:type="dxa"/>
            <w:vAlign w:val="center"/>
          </w:tcPr>
          <w:p w14:paraId="10B7C4E9">
            <w:pPr>
              <w:spacing w:line="312" w:lineRule="auto"/>
              <w:jc w:val="center"/>
              <w:rPr>
                <w:rFonts w:ascii="宋体" w:hAnsi="宋体" w:eastAsia="宋体"/>
                <w:szCs w:val="21"/>
              </w:rPr>
            </w:pPr>
            <w:r>
              <w:rPr>
                <w:rFonts w:hint="eastAsia" w:ascii="宋体" w:hAnsi="宋体" w:eastAsia="宋体"/>
                <w:szCs w:val="21"/>
              </w:rPr>
              <w:t>1</w:t>
            </w:r>
          </w:p>
        </w:tc>
        <w:tc>
          <w:tcPr>
            <w:tcW w:w="5954" w:type="dxa"/>
            <w:vAlign w:val="center"/>
          </w:tcPr>
          <w:p w14:paraId="1A18CEE2">
            <w:pPr>
              <w:rPr>
                <w:rFonts w:ascii="宋体" w:hAnsi="宋体" w:eastAsia="宋体"/>
                <w:szCs w:val="21"/>
              </w:rPr>
            </w:pPr>
            <w:r>
              <w:rPr>
                <w:rFonts w:ascii="宋体" w:hAnsi="宋体" w:eastAsia="宋体"/>
              </w:rPr>
              <w:t>服务实施方案</w:t>
            </w:r>
          </w:p>
        </w:tc>
        <w:tc>
          <w:tcPr>
            <w:tcW w:w="567" w:type="dxa"/>
          </w:tcPr>
          <w:p w14:paraId="52C6E0BF">
            <w:pPr>
              <w:spacing w:line="312" w:lineRule="auto"/>
              <w:rPr>
                <w:rFonts w:ascii="宋体" w:hAnsi="宋体" w:eastAsia="宋体"/>
                <w:szCs w:val="21"/>
              </w:rPr>
            </w:pPr>
          </w:p>
        </w:tc>
        <w:tc>
          <w:tcPr>
            <w:tcW w:w="567" w:type="dxa"/>
          </w:tcPr>
          <w:p w14:paraId="38FA741A">
            <w:pPr>
              <w:spacing w:line="312" w:lineRule="auto"/>
              <w:rPr>
                <w:rFonts w:ascii="宋体" w:hAnsi="宋体" w:eastAsia="宋体"/>
                <w:szCs w:val="21"/>
              </w:rPr>
            </w:pPr>
          </w:p>
        </w:tc>
        <w:tc>
          <w:tcPr>
            <w:tcW w:w="709" w:type="dxa"/>
          </w:tcPr>
          <w:p w14:paraId="5C069958">
            <w:pPr>
              <w:spacing w:line="312" w:lineRule="auto"/>
              <w:rPr>
                <w:rFonts w:ascii="宋体" w:hAnsi="宋体" w:eastAsia="宋体"/>
                <w:szCs w:val="21"/>
              </w:rPr>
            </w:pPr>
          </w:p>
        </w:tc>
        <w:tc>
          <w:tcPr>
            <w:tcW w:w="567" w:type="dxa"/>
          </w:tcPr>
          <w:p w14:paraId="3A5F3393">
            <w:pPr>
              <w:spacing w:line="312" w:lineRule="auto"/>
              <w:rPr>
                <w:rFonts w:ascii="宋体" w:hAnsi="宋体" w:eastAsia="宋体"/>
                <w:szCs w:val="21"/>
              </w:rPr>
            </w:pPr>
          </w:p>
        </w:tc>
      </w:tr>
      <w:tr w14:paraId="205AFC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471" w:type="dxa"/>
            <w:vMerge w:val="continue"/>
            <w:vAlign w:val="center"/>
          </w:tcPr>
          <w:p w14:paraId="2FE5596A">
            <w:pPr>
              <w:spacing w:line="240" w:lineRule="exact"/>
              <w:jc w:val="center"/>
              <w:rPr>
                <w:rFonts w:ascii="宋体" w:hAnsi="宋体" w:eastAsia="宋体"/>
                <w:szCs w:val="21"/>
              </w:rPr>
            </w:pPr>
          </w:p>
        </w:tc>
        <w:tc>
          <w:tcPr>
            <w:tcW w:w="567" w:type="dxa"/>
            <w:vAlign w:val="center"/>
          </w:tcPr>
          <w:p w14:paraId="48169AF1">
            <w:pPr>
              <w:spacing w:line="312" w:lineRule="auto"/>
              <w:jc w:val="center"/>
              <w:rPr>
                <w:rFonts w:ascii="宋体" w:hAnsi="宋体" w:eastAsia="宋体"/>
                <w:szCs w:val="21"/>
              </w:rPr>
            </w:pPr>
            <w:r>
              <w:rPr>
                <w:rFonts w:hint="eastAsia" w:ascii="宋体" w:hAnsi="宋体" w:eastAsia="宋体"/>
                <w:szCs w:val="21"/>
              </w:rPr>
              <w:t>2</w:t>
            </w:r>
          </w:p>
        </w:tc>
        <w:tc>
          <w:tcPr>
            <w:tcW w:w="5954" w:type="dxa"/>
            <w:vAlign w:val="center"/>
          </w:tcPr>
          <w:p w14:paraId="7846A5BF">
            <w:pPr>
              <w:rPr>
                <w:rFonts w:ascii="宋体" w:hAnsi="宋体" w:eastAsia="宋体"/>
                <w:szCs w:val="21"/>
              </w:rPr>
            </w:pPr>
            <w:r>
              <w:rPr>
                <w:rFonts w:ascii="宋体" w:hAnsi="宋体" w:eastAsia="宋体"/>
              </w:rPr>
              <w:t xml:space="preserve">货物质量保证措施 </w:t>
            </w:r>
          </w:p>
        </w:tc>
        <w:tc>
          <w:tcPr>
            <w:tcW w:w="567" w:type="dxa"/>
          </w:tcPr>
          <w:p w14:paraId="6E6E6AD4">
            <w:pPr>
              <w:spacing w:line="312" w:lineRule="auto"/>
              <w:rPr>
                <w:rFonts w:ascii="宋体" w:hAnsi="宋体" w:eastAsia="宋体"/>
                <w:szCs w:val="21"/>
              </w:rPr>
            </w:pPr>
          </w:p>
        </w:tc>
        <w:tc>
          <w:tcPr>
            <w:tcW w:w="567" w:type="dxa"/>
          </w:tcPr>
          <w:p w14:paraId="157CFC56">
            <w:pPr>
              <w:spacing w:line="312" w:lineRule="auto"/>
              <w:rPr>
                <w:rFonts w:ascii="宋体" w:hAnsi="宋体" w:eastAsia="宋体"/>
                <w:szCs w:val="21"/>
              </w:rPr>
            </w:pPr>
          </w:p>
        </w:tc>
        <w:tc>
          <w:tcPr>
            <w:tcW w:w="709" w:type="dxa"/>
          </w:tcPr>
          <w:p w14:paraId="61F90FAF">
            <w:pPr>
              <w:spacing w:line="312" w:lineRule="auto"/>
              <w:rPr>
                <w:rFonts w:ascii="宋体" w:hAnsi="宋体" w:eastAsia="宋体"/>
                <w:szCs w:val="21"/>
              </w:rPr>
            </w:pPr>
          </w:p>
        </w:tc>
        <w:tc>
          <w:tcPr>
            <w:tcW w:w="567" w:type="dxa"/>
          </w:tcPr>
          <w:p w14:paraId="0BA7E31B">
            <w:pPr>
              <w:spacing w:line="312" w:lineRule="auto"/>
              <w:rPr>
                <w:rFonts w:ascii="宋体" w:hAnsi="宋体" w:eastAsia="宋体"/>
                <w:szCs w:val="21"/>
              </w:rPr>
            </w:pPr>
          </w:p>
        </w:tc>
      </w:tr>
      <w:tr w14:paraId="46F1DA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471" w:type="dxa"/>
            <w:vMerge w:val="continue"/>
            <w:vAlign w:val="center"/>
          </w:tcPr>
          <w:p w14:paraId="7111BF64">
            <w:pPr>
              <w:spacing w:line="240" w:lineRule="exact"/>
              <w:jc w:val="center"/>
              <w:rPr>
                <w:rFonts w:ascii="宋体" w:hAnsi="宋体" w:eastAsia="宋体"/>
                <w:szCs w:val="21"/>
              </w:rPr>
            </w:pPr>
          </w:p>
        </w:tc>
        <w:tc>
          <w:tcPr>
            <w:tcW w:w="567" w:type="dxa"/>
            <w:vAlign w:val="center"/>
          </w:tcPr>
          <w:p w14:paraId="7829C0F2">
            <w:pPr>
              <w:spacing w:line="312" w:lineRule="auto"/>
              <w:jc w:val="center"/>
              <w:rPr>
                <w:rFonts w:ascii="宋体" w:hAnsi="宋体" w:eastAsia="宋体"/>
                <w:szCs w:val="21"/>
              </w:rPr>
            </w:pPr>
            <w:r>
              <w:rPr>
                <w:rFonts w:hint="eastAsia" w:ascii="宋体" w:hAnsi="宋体" w:eastAsia="宋体"/>
                <w:szCs w:val="21"/>
              </w:rPr>
              <w:t>3</w:t>
            </w:r>
          </w:p>
        </w:tc>
        <w:tc>
          <w:tcPr>
            <w:tcW w:w="5954" w:type="dxa"/>
            <w:vAlign w:val="center"/>
          </w:tcPr>
          <w:p w14:paraId="76C32633">
            <w:pPr>
              <w:rPr>
                <w:rFonts w:ascii="宋体" w:hAnsi="宋体" w:eastAsia="宋体"/>
                <w:szCs w:val="21"/>
              </w:rPr>
            </w:pPr>
            <w:r>
              <w:rPr>
                <w:rFonts w:ascii="宋体" w:hAnsi="宋体" w:eastAsia="宋体"/>
              </w:rPr>
              <w:t>售后服务承诺</w:t>
            </w:r>
          </w:p>
        </w:tc>
        <w:tc>
          <w:tcPr>
            <w:tcW w:w="567" w:type="dxa"/>
          </w:tcPr>
          <w:p w14:paraId="1751AA02">
            <w:pPr>
              <w:spacing w:line="312" w:lineRule="auto"/>
              <w:rPr>
                <w:rFonts w:ascii="宋体" w:hAnsi="宋体" w:eastAsia="宋体"/>
                <w:szCs w:val="21"/>
              </w:rPr>
            </w:pPr>
          </w:p>
        </w:tc>
        <w:tc>
          <w:tcPr>
            <w:tcW w:w="567" w:type="dxa"/>
          </w:tcPr>
          <w:p w14:paraId="290CDCE8">
            <w:pPr>
              <w:spacing w:line="312" w:lineRule="auto"/>
              <w:rPr>
                <w:rFonts w:ascii="宋体" w:hAnsi="宋体" w:eastAsia="宋体"/>
                <w:szCs w:val="21"/>
              </w:rPr>
            </w:pPr>
          </w:p>
        </w:tc>
        <w:tc>
          <w:tcPr>
            <w:tcW w:w="709" w:type="dxa"/>
          </w:tcPr>
          <w:p w14:paraId="7E5ABA29">
            <w:pPr>
              <w:spacing w:line="312" w:lineRule="auto"/>
              <w:rPr>
                <w:rFonts w:ascii="宋体" w:hAnsi="宋体" w:eastAsia="宋体"/>
                <w:szCs w:val="21"/>
              </w:rPr>
            </w:pPr>
          </w:p>
        </w:tc>
        <w:tc>
          <w:tcPr>
            <w:tcW w:w="567" w:type="dxa"/>
          </w:tcPr>
          <w:p w14:paraId="23BD366B">
            <w:pPr>
              <w:spacing w:line="312" w:lineRule="auto"/>
              <w:rPr>
                <w:rFonts w:ascii="宋体" w:hAnsi="宋体" w:eastAsia="宋体"/>
                <w:szCs w:val="21"/>
              </w:rPr>
            </w:pPr>
          </w:p>
        </w:tc>
      </w:tr>
      <w:tr w14:paraId="480F5A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471" w:type="dxa"/>
            <w:vMerge w:val="continue"/>
            <w:vAlign w:val="center"/>
          </w:tcPr>
          <w:p w14:paraId="1766585A">
            <w:pPr>
              <w:spacing w:line="240" w:lineRule="exact"/>
              <w:jc w:val="center"/>
              <w:rPr>
                <w:rFonts w:ascii="宋体" w:hAnsi="宋体" w:eastAsia="宋体"/>
                <w:szCs w:val="21"/>
              </w:rPr>
            </w:pPr>
          </w:p>
        </w:tc>
        <w:tc>
          <w:tcPr>
            <w:tcW w:w="567" w:type="dxa"/>
            <w:vAlign w:val="center"/>
          </w:tcPr>
          <w:p w14:paraId="4A18C03D">
            <w:pPr>
              <w:spacing w:line="312" w:lineRule="auto"/>
              <w:jc w:val="center"/>
              <w:rPr>
                <w:rFonts w:ascii="宋体" w:hAnsi="宋体" w:eastAsia="宋体"/>
                <w:szCs w:val="21"/>
              </w:rPr>
            </w:pPr>
            <w:r>
              <w:rPr>
                <w:rFonts w:hint="eastAsia" w:ascii="宋体" w:hAnsi="宋体" w:eastAsia="宋体"/>
                <w:szCs w:val="21"/>
              </w:rPr>
              <w:t>4</w:t>
            </w:r>
          </w:p>
        </w:tc>
        <w:tc>
          <w:tcPr>
            <w:tcW w:w="5954" w:type="dxa"/>
            <w:vAlign w:val="center"/>
          </w:tcPr>
          <w:p w14:paraId="76A16BA8">
            <w:pPr>
              <w:rPr>
                <w:rFonts w:ascii="宋体" w:hAnsi="宋体" w:eastAsia="宋体"/>
                <w:szCs w:val="21"/>
              </w:rPr>
            </w:pPr>
            <w:r>
              <w:rPr>
                <w:rFonts w:ascii="宋体" w:hAnsi="宋体" w:eastAsia="宋体"/>
              </w:rPr>
              <w:t>特殊情况应急处理预案</w:t>
            </w:r>
          </w:p>
        </w:tc>
        <w:tc>
          <w:tcPr>
            <w:tcW w:w="567" w:type="dxa"/>
          </w:tcPr>
          <w:p w14:paraId="77E882FD">
            <w:pPr>
              <w:spacing w:line="312" w:lineRule="auto"/>
              <w:rPr>
                <w:rFonts w:ascii="宋体" w:hAnsi="宋体" w:eastAsia="宋体"/>
                <w:szCs w:val="21"/>
              </w:rPr>
            </w:pPr>
          </w:p>
        </w:tc>
        <w:tc>
          <w:tcPr>
            <w:tcW w:w="567" w:type="dxa"/>
          </w:tcPr>
          <w:p w14:paraId="2242A9AB">
            <w:pPr>
              <w:spacing w:line="312" w:lineRule="auto"/>
              <w:rPr>
                <w:rFonts w:ascii="宋体" w:hAnsi="宋体" w:eastAsia="宋体"/>
                <w:szCs w:val="21"/>
              </w:rPr>
            </w:pPr>
          </w:p>
        </w:tc>
        <w:tc>
          <w:tcPr>
            <w:tcW w:w="709" w:type="dxa"/>
          </w:tcPr>
          <w:p w14:paraId="3E4ADEDF">
            <w:pPr>
              <w:spacing w:line="312" w:lineRule="auto"/>
              <w:rPr>
                <w:rFonts w:ascii="宋体" w:hAnsi="宋体" w:eastAsia="宋体"/>
                <w:szCs w:val="21"/>
              </w:rPr>
            </w:pPr>
          </w:p>
        </w:tc>
        <w:tc>
          <w:tcPr>
            <w:tcW w:w="567" w:type="dxa"/>
          </w:tcPr>
          <w:p w14:paraId="71530378">
            <w:pPr>
              <w:spacing w:line="312" w:lineRule="auto"/>
              <w:rPr>
                <w:rFonts w:ascii="宋体" w:hAnsi="宋体" w:eastAsia="宋体"/>
                <w:szCs w:val="21"/>
              </w:rPr>
            </w:pPr>
          </w:p>
        </w:tc>
      </w:tr>
      <w:tr w14:paraId="15F810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471" w:type="dxa"/>
            <w:vMerge w:val="restart"/>
            <w:vAlign w:val="center"/>
          </w:tcPr>
          <w:p w14:paraId="766297D3">
            <w:pPr>
              <w:spacing w:line="240" w:lineRule="exact"/>
              <w:jc w:val="center"/>
              <w:rPr>
                <w:rFonts w:ascii="宋体" w:hAnsi="宋体" w:eastAsia="宋体"/>
                <w:szCs w:val="21"/>
              </w:rPr>
            </w:pPr>
            <w:r>
              <w:rPr>
                <w:rFonts w:hint="eastAsia" w:ascii="宋体" w:hAnsi="宋体" w:eastAsia="宋体"/>
                <w:szCs w:val="21"/>
              </w:rPr>
              <w:t>响应供应商应提交的商务文件（加盖响应供应商公章）</w:t>
            </w:r>
          </w:p>
        </w:tc>
        <w:tc>
          <w:tcPr>
            <w:tcW w:w="567" w:type="dxa"/>
            <w:vAlign w:val="center"/>
          </w:tcPr>
          <w:p w14:paraId="6845F58F">
            <w:pPr>
              <w:spacing w:line="312" w:lineRule="auto"/>
              <w:jc w:val="center"/>
              <w:rPr>
                <w:rFonts w:ascii="宋体" w:hAnsi="宋体" w:eastAsia="宋体"/>
                <w:szCs w:val="21"/>
              </w:rPr>
            </w:pPr>
            <w:r>
              <w:rPr>
                <w:rFonts w:hint="eastAsia" w:ascii="宋体" w:hAnsi="宋体" w:eastAsia="宋体"/>
                <w:szCs w:val="21"/>
              </w:rPr>
              <w:t>1</w:t>
            </w:r>
          </w:p>
        </w:tc>
        <w:tc>
          <w:tcPr>
            <w:tcW w:w="5954" w:type="dxa"/>
          </w:tcPr>
          <w:p w14:paraId="337C7934">
            <w:pPr>
              <w:jc w:val="left"/>
              <w:rPr>
                <w:rFonts w:ascii="宋体" w:hAnsi="宋体" w:eastAsia="宋体"/>
              </w:rPr>
            </w:pPr>
            <w:r>
              <w:rPr>
                <w:rFonts w:hint="eastAsia" w:ascii="宋体" w:hAnsi="宋体" w:eastAsia="宋体"/>
              </w:rPr>
              <w:t>配置人员</w:t>
            </w:r>
          </w:p>
        </w:tc>
        <w:tc>
          <w:tcPr>
            <w:tcW w:w="567" w:type="dxa"/>
          </w:tcPr>
          <w:p w14:paraId="66F29740">
            <w:pPr>
              <w:spacing w:line="312" w:lineRule="auto"/>
              <w:rPr>
                <w:rFonts w:ascii="宋体" w:hAnsi="宋体" w:eastAsia="宋体"/>
                <w:szCs w:val="21"/>
              </w:rPr>
            </w:pPr>
          </w:p>
        </w:tc>
        <w:tc>
          <w:tcPr>
            <w:tcW w:w="567" w:type="dxa"/>
          </w:tcPr>
          <w:p w14:paraId="6A836068">
            <w:pPr>
              <w:spacing w:line="312" w:lineRule="auto"/>
              <w:rPr>
                <w:rFonts w:ascii="宋体" w:hAnsi="宋体" w:eastAsia="宋体"/>
                <w:szCs w:val="21"/>
              </w:rPr>
            </w:pPr>
          </w:p>
        </w:tc>
        <w:tc>
          <w:tcPr>
            <w:tcW w:w="709" w:type="dxa"/>
          </w:tcPr>
          <w:p w14:paraId="14E1B101">
            <w:pPr>
              <w:spacing w:line="312" w:lineRule="auto"/>
              <w:rPr>
                <w:rFonts w:ascii="宋体" w:hAnsi="宋体" w:eastAsia="宋体"/>
                <w:szCs w:val="21"/>
              </w:rPr>
            </w:pPr>
          </w:p>
        </w:tc>
        <w:tc>
          <w:tcPr>
            <w:tcW w:w="567" w:type="dxa"/>
          </w:tcPr>
          <w:p w14:paraId="41B62A49">
            <w:pPr>
              <w:spacing w:line="312" w:lineRule="auto"/>
              <w:rPr>
                <w:rFonts w:ascii="宋体" w:hAnsi="宋体" w:eastAsia="宋体"/>
                <w:szCs w:val="21"/>
              </w:rPr>
            </w:pPr>
          </w:p>
        </w:tc>
      </w:tr>
      <w:tr w14:paraId="1918BE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471" w:type="dxa"/>
            <w:vMerge w:val="continue"/>
            <w:vAlign w:val="center"/>
          </w:tcPr>
          <w:p w14:paraId="143B382D">
            <w:pPr>
              <w:spacing w:line="312" w:lineRule="auto"/>
              <w:jc w:val="center"/>
              <w:rPr>
                <w:rFonts w:ascii="宋体" w:hAnsi="宋体" w:eastAsia="宋体"/>
                <w:szCs w:val="21"/>
              </w:rPr>
            </w:pPr>
          </w:p>
        </w:tc>
        <w:tc>
          <w:tcPr>
            <w:tcW w:w="567" w:type="dxa"/>
            <w:vAlign w:val="center"/>
          </w:tcPr>
          <w:p w14:paraId="3E1AA47A">
            <w:pPr>
              <w:spacing w:line="312" w:lineRule="auto"/>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5954" w:type="dxa"/>
          </w:tcPr>
          <w:p w14:paraId="0CD188B9">
            <w:pPr>
              <w:jc w:val="left"/>
              <w:rPr>
                <w:rFonts w:ascii="宋体" w:hAnsi="宋体" w:eastAsia="宋体"/>
              </w:rPr>
            </w:pPr>
            <w:r>
              <w:rPr>
                <w:rFonts w:ascii="宋体" w:hAnsi="宋体" w:eastAsia="宋体"/>
              </w:rPr>
              <w:t>运输配送能力</w:t>
            </w:r>
          </w:p>
        </w:tc>
        <w:tc>
          <w:tcPr>
            <w:tcW w:w="567" w:type="dxa"/>
          </w:tcPr>
          <w:p w14:paraId="026BDB5D">
            <w:pPr>
              <w:spacing w:line="312" w:lineRule="auto"/>
              <w:rPr>
                <w:rFonts w:ascii="宋体" w:hAnsi="宋体" w:eastAsia="宋体"/>
                <w:szCs w:val="21"/>
              </w:rPr>
            </w:pPr>
          </w:p>
        </w:tc>
        <w:tc>
          <w:tcPr>
            <w:tcW w:w="567" w:type="dxa"/>
          </w:tcPr>
          <w:p w14:paraId="33AEA013">
            <w:pPr>
              <w:spacing w:line="312" w:lineRule="auto"/>
              <w:rPr>
                <w:rFonts w:ascii="宋体" w:hAnsi="宋体" w:eastAsia="宋体"/>
                <w:szCs w:val="21"/>
              </w:rPr>
            </w:pPr>
          </w:p>
        </w:tc>
        <w:tc>
          <w:tcPr>
            <w:tcW w:w="709" w:type="dxa"/>
          </w:tcPr>
          <w:p w14:paraId="379F2D72">
            <w:pPr>
              <w:spacing w:line="312" w:lineRule="auto"/>
              <w:rPr>
                <w:rFonts w:ascii="宋体" w:hAnsi="宋体" w:eastAsia="宋体"/>
                <w:szCs w:val="21"/>
              </w:rPr>
            </w:pPr>
          </w:p>
        </w:tc>
        <w:tc>
          <w:tcPr>
            <w:tcW w:w="567" w:type="dxa"/>
          </w:tcPr>
          <w:p w14:paraId="7366FC87">
            <w:pPr>
              <w:spacing w:line="312" w:lineRule="auto"/>
              <w:rPr>
                <w:rFonts w:ascii="宋体" w:hAnsi="宋体" w:eastAsia="宋体"/>
                <w:szCs w:val="21"/>
              </w:rPr>
            </w:pPr>
          </w:p>
        </w:tc>
      </w:tr>
      <w:tr w14:paraId="3641E7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471" w:type="dxa"/>
            <w:vMerge w:val="continue"/>
            <w:vAlign w:val="center"/>
          </w:tcPr>
          <w:p w14:paraId="7CF8220D">
            <w:pPr>
              <w:spacing w:line="312" w:lineRule="auto"/>
              <w:jc w:val="center"/>
              <w:rPr>
                <w:rFonts w:ascii="宋体" w:hAnsi="宋体" w:eastAsia="宋体"/>
                <w:szCs w:val="21"/>
              </w:rPr>
            </w:pPr>
          </w:p>
        </w:tc>
        <w:tc>
          <w:tcPr>
            <w:tcW w:w="567" w:type="dxa"/>
            <w:vAlign w:val="center"/>
          </w:tcPr>
          <w:p w14:paraId="5CC428CB">
            <w:pPr>
              <w:spacing w:line="312" w:lineRule="auto"/>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5954" w:type="dxa"/>
          </w:tcPr>
          <w:p w14:paraId="35B61DCE">
            <w:pPr>
              <w:jc w:val="left"/>
              <w:rPr>
                <w:rFonts w:ascii="宋体" w:hAnsi="宋体" w:eastAsia="宋体"/>
              </w:rPr>
            </w:pPr>
            <w:r>
              <w:rPr>
                <w:rFonts w:ascii="宋体" w:hAnsi="宋体" w:eastAsia="宋体"/>
              </w:rPr>
              <w:t>同类项目业绩</w:t>
            </w:r>
          </w:p>
        </w:tc>
        <w:tc>
          <w:tcPr>
            <w:tcW w:w="567" w:type="dxa"/>
          </w:tcPr>
          <w:p w14:paraId="69397730">
            <w:pPr>
              <w:spacing w:line="312" w:lineRule="auto"/>
              <w:rPr>
                <w:rFonts w:ascii="宋体" w:hAnsi="宋体" w:eastAsia="宋体"/>
                <w:szCs w:val="21"/>
              </w:rPr>
            </w:pPr>
          </w:p>
        </w:tc>
        <w:tc>
          <w:tcPr>
            <w:tcW w:w="567" w:type="dxa"/>
          </w:tcPr>
          <w:p w14:paraId="774E905A">
            <w:pPr>
              <w:spacing w:line="312" w:lineRule="auto"/>
              <w:rPr>
                <w:rFonts w:ascii="宋体" w:hAnsi="宋体" w:eastAsia="宋体"/>
                <w:szCs w:val="21"/>
              </w:rPr>
            </w:pPr>
          </w:p>
        </w:tc>
        <w:tc>
          <w:tcPr>
            <w:tcW w:w="709" w:type="dxa"/>
          </w:tcPr>
          <w:p w14:paraId="75BD9143">
            <w:pPr>
              <w:spacing w:line="312" w:lineRule="auto"/>
              <w:rPr>
                <w:rFonts w:ascii="宋体" w:hAnsi="宋体" w:eastAsia="宋体"/>
                <w:szCs w:val="21"/>
              </w:rPr>
            </w:pPr>
          </w:p>
        </w:tc>
        <w:tc>
          <w:tcPr>
            <w:tcW w:w="567" w:type="dxa"/>
          </w:tcPr>
          <w:p w14:paraId="627074BF">
            <w:pPr>
              <w:spacing w:line="312" w:lineRule="auto"/>
              <w:rPr>
                <w:rFonts w:ascii="宋体" w:hAnsi="宋体" w:eastAsia="宋体"/>
                <w:szCs w:val="21"/>
              </w:rPr>
            </w:pPr>
          </w:p>
        </w:tc>
      </w:tr>
    </w:tbl>
    <w:p w14:paraId="39F9CF98">
      <w:pPr>
        <w:spacing w:line="312" w:lineRule="auto"/>
        <w:rPr>
          <w:rFonts w:ascii="宋体" w:hAnsi="宋体" w:eastAsia="宋体"/>
          <w:szCs w:val="21"/>
        </w:rPr>
      </w:pPr>
      <w:r>
        <w:rPr>
          <w:rFonts w:hint="eastAsia" w:ascii="宋体" w:hAnsi="宋体" w:eastAsia="宋体"/>
          <w:szCs w:val="21"/>
        </w:rPr>
        <w:t>注：本表格式可自行扩展。</w:t>
      </w:r>
    </w:p>
    <w:p w14:paraId="0DBF9145">
      <w:pPr>
        <w:spacing w:line="312" w:lineRule="auto"/>
        <w:rPr>
          <w:rFonts w:ascii="宋体" w:hAnsi="宋体" w:eastAsia="宋体"/>
          <w:szCs w:val="21"/>
        </w:rPr>
      </w:pPr>
    </w:p>
    <w:p w14:paraId="2138023C">
      <w:pPr>
        <w:spacing w:line="312" w:lineRule="auto"/>
        <w:rPr>
          <w:rFonts w:ascii="宋体" w:hAnsi="宋体" w:eastAsia="宋体"/>
          <w:szCs w:val="21"/>
        </w:rPr>
      </w:pPr>
    </w:p>
    <w:p w14:paraId="4948A9D1">
      <w:pPr>
        <w:spacing w:line="312" w:lineRule="auto"/>
        <w:rPr>
          <w:rFonts w:ascii="宋体" w:hAnsi="宋体" w:eastAsia="宋体"/>
          <w:szCs w:val="21"/>
        </w:rPr>
      </w:pPr>
    </w:p>
    <w:p w14:paraId="10B93184">
      <w:pPr>
        <w:spacing w:line="312" w:lineRule="auto"/>
        <w:rPr>
          <w:rFonts w:ascii="宋体" w:hAnsi="宋体" w:eastAsia="宋体"/>
          <w:szCs w:val="21"/>
        </w:rPr>
      </w:pPr>
    </w:p>
    <w:p w14:paraId="5446FC23">
      <w:pPr>
        <w:spacing w:line="312" w:lineRule="auto"/>
        <w:rPr>
          <w:rFonts w:ascii="宋体" w:hAnsi="宋体" w:eastAsia="宋体"/>
          <w:szCs w:val="21"/>
        </w:rPr>
      </w:pPr>
    </w:p>
    <w:p w14:paraId="6121960A">
      <w:pPr>
        <w:spacing w:line="312" w:lineRule="auto"/>
        <w:rPr>
          <w:rFonts w:ascii="宋体" w:hAnsi="宋体" w:eastAsia="宋体"/>
          <w:szCs w:val="21"/>
        </w:rPr>
      </w:pPr>
    </w:p>
    <w:p w14:paraId="28194D58">
      <w:pPr>
        <w:spacing w:line="312" w:lineRule="auto"/>
        <w:rPr>
          <w:rFonts w:ascii="宋体" w:hAnsi="宋体" w:eastAsia="宋体"/>
          <w:szCs w:val="21"/>
        </w:rPr>
      </w:pPr>
    </w:p>
    <w:p w14:paraId="318062F0">
      <w:pPr>
        <w:spacing w:line="312" w:lineRule="auto"/>
        <w:rPr>
          <w:rFonts w:ascii="宋体" w:hAnsi="宋体" w:eastAsia="宋体"/>
          <w:szCs w:val="21"/>
        </w:rPr>
      </w:pPr>
    </w:p>
    <w:p w14:paraId="2B9B1E50">
      <w:pPr>
        <w:spacing w:line="312" w:lineRule="auto"/>
        <w:rPr>
          <w:rFonts w:ascii="宋体" w:hAnsi="宋体" w:eastAsia="宋体"/>
          <w:szCs w:val="21"/>
        </w:rPr>
      </w:pPr>
    </w:p>
    <w:p w14:paraId="5D119D3E">
      <w:pPr>
        <w:spacing w:line="312" w:lineRule="auto"/>
        <w:rPr>
          <w:rFonts w:ascii="宋体" w:hAnsi="宋体" w:eastAsia="宋体"/>
          <w:szCs w:val="21"/>
        </w:rPr>
      </w:pPr>
    </w:p>
    <w:p w14:paraId="06760CFC">
      <w:pPr>
        <w:spacing w:line="312" w:lineRule="auto"/>
        <w:rPr>
          <w:rFonts w:ascii="宋体" w:hAnsi="宋体" w:eastAsia="宋体"/>
          <w:szCs w:val="21"/>
        </w:rPr>
      </w:pPr>
    </w:p>
    <w:p w14:paraId="44C3C2FC">
      <w:pPr>
        <w:spacing w:line="312" w:lineRule="auto"/>
        <w:rPr>
          <w:rFonts w:ascii="宋体" w:hAnsi="宋体" w:eastAsia="宋体"/>
          <w:szCs w:val="21"/>
        </w:rPr>
      </w:pPr>
    </w:p>
    <w:p w14:paraId="347D353F">
      <w:pPr>
        <w:spacing w:line="312" w:lineRule="auto"/>
        <w:rPr>
          <w:rFonts w:ascii="宋体" w:hAnsi="宋体" w:eastAsia="宋体"/>
          <w:szCs w:val="21"/>
        </w:rPr>
      </w:pPr>
    </w:p>
    <w:p w14:paraId="45A077C9">
      <w:pPr>
        <w:spacing w:line="312" w:lineRule="auto"/>
        <w:rPr>
          <w:rFonts w:ascii="宋体" w:hAnsi="宋体" w:eastAsia="宋体"/>
          <w:szCs w:val="21"/>
        </w:rPr>
      </w:pPr>
    </w:p>
    <w:p w14:paraId="78C7664D">
      <w:pPr>
        <w:spacing w:line="312" w:lineRule="auto"/>
        <w:rPr>
          <w:rFonts w:ascii="宋体" w:hAnsi="宋体" w:eastAsia="宋体"/>
          <w:szCs w:val="21"/>
        </w:rPr>
      </w:pPr>
    </w:p>
    <w:p w14:paraId="56FB3DB6">
      <w:pPr>
        <w:spacing w:line="312" w:lineRule="auto"/>
        <w:rPr>
          <w:rFonts w:ascii="宋体" w:hAnsi="宋体" w:eastAsia="宋体"/>
          <w:szCs w:val="21"/>
        </w:rPr>
      </w:pPr>
    </w:p>
    <w:p w14:paraId="276DE25B">
      <w:pPr>
        <w:spacing w:line="312" w:lineRule="auto"/>
        <w:rPr>
          <w:rFonts w:ascii="宋体" w:hAnsi="宋体" w:eastAsia="宋体"/>
          <w:szCs w:val="21"/>
        </w:rPr>
      </w:pPr>
    </w:p>
    <w:p w14:paraId="47ADD21D">
      <w:pPr>
        <w:spacing w:line="312" w:lineRule="auto"/>
        <w:rPr>
          <w:rFonts w:ascii="宋体" w:hAnsi="宋体" w:eastAsia="宋体"/>
          <w:szCs w:val="21"/>
        </w:rPr>
      </w:pPr>
    </w:p>
    <w:p w14:paraId="281EE6D1">
      <w:pPr>
        <w:rPr>
          <w:rFonts w:ascii="宋体" w:hAnsi="宋体" w:eastAsia="宋体"/>
          <w:b/>
          <w:sz w:val="28"/>
          <w:szCs w:val="28"/>
        </w:rPr>
      </w:pPr>
      <w:r>
        <w:rPr>
          <w:rFonts w:hint="eastAsia" w:ascii="宋体" w:hAnsi="宋体" w:eastAsia="宋体"/>
          <w:b/>
          <w:sz w:val="28"/>
          <w:szCs w:val="28"/>
        </w:rPr>
        <w:br w:type="page"/>
      </w:r>
    </w:p>
    <w:p w14:paraId="37C981BE">
      <w:pPr>
        <w:spacing w:line="312" w:lineRule="auto"/>
        <w:rPr>
          <w:rFonts w:ascii="宋体" w:hAnsi="宋体" w:eastAsia="宋体"/>
          <w:b/>
          <w:sz w:val="28"/>
          <w:szCs w:val="28"/>
        </w:rPr>
      </w:pPr>
      <w:r>
        <w:rPr>
          <w:rFonts w:hint="eastAsia" w:ascii="宋体" w:hAnsi="宋体" w:eastAsia="宋体"/>
          <w:b/>
          <w:sz w:val="28"/>
          <w:szCs w:val="28"/>
        </w:rPr>
        <w:t>格式1</w:t>
      </w:r>
    </w:p>
    <w:p w14:paraId="52CEB3BA">
      <w:pPr>
        <w:spacing w:line="312" w:lineRule="auto"/>
        <w:jc w:val="center"/>
        <w:rPr>
          <w:rFonts w:ascii="宋体" w:hAnsi="宋体" w:eastAsia="宋体"/>
          <w:b/>
          <w:sz w:val="28"/>
          <w:szCs w:val="28"/>
        </w:rPr>
      </w:pPr>
      <w:r>
        <w:rPr>
          <w:rFonts w:hint="eastAsia" w:ascii="宋体" w:hAnsi="宋体" w:eastAsia="宋体"/>
          <w:b/>
          <w:sz w:val="28"/>
          <w:szCs w:val="28"/>
        </w:rPr>
        <w:t>磋 商 函</w:t>
      </w:r>
    </w:p>
    <w:p w14:paraId="2DAF765F">
      <w:pPr>
        <w:spacing w:line="312" w:lineRule="auto"/>
        <w:rPr>
          <w:rFonts w:ascii="宋体" w:hAnsi="宋体" w:eastAsia="宋体"/>
        </w:rPr>
      </w:pPr>
      <w:r>
        <w:rPr>
          <w:rFonts w:hint="eastAsia" w:ascii="宋体" w:hAnsi="宋体" w:eastAsia="宋体"/>
        </w:rPr>
        <w:t>致：广东创富工程管理有限公司</w:t>
      </w:r>
    </w:p>
    <w:p w14:paraId="310E27F3">
      <w:pPr>
        <w:spacing w:line="312" w:lineRule="auto"/>
        <w:ind w:firstLine="420" w:firstLineChars="200"/>
        <w:rPr>
          <w:rFonts w:ascii="宋体" w:hAnsi="宋体" w:eastAsia="宋体"/>
        </w:rPr>
      </w:pPr>
      <w:r>
        <w:rPr>
          <w:rFonts w:hint="eastAsia" w:ascii="宋体" w:hAnsi="宋体" w:eastAsia="宋体"/>
        </w:rPr>
        <w:t>我方确认收到贵方</w:t>
      </w:r>
      <w:r>
        <w:rPr>
          <w:rFonts w:hint="eastAsia" w:ascii="宋体" w:hAnsi="宋体" w:eastAsia="宋体"/>
          <w:u w:val="single"/>
        </w:rPr>
        <w:t xml:space="preserve">    （项目名称）    </w:t>
      </w:r>
      <w:r>
        <w:rPr>
          <w:rFonts w:hint="eastAsia" w:ascii="宋体" w:hAnsi="宋体" w:eastAsia="宋体"/>
        </w:rPr>
        <w:t>采购货物及相关服务的竞争性磋商文件（项目编号：</w:t>
      </w:r>
      <w:r>
        <w:rPr>
          <w:rFonts w:hint="eastAsia" w:ascii="宋体" w:hAnsi="宋体" w:eastAsia="宋体"/>
          <w:lang w:eastAsia="zh-CN"/>
        </w:rPr>
        <w:t>GDCF-YN-CG-20250802</w:t>
      </w:r>
      <w:r>
        <w:rPr>
          <w:rFonts w:hint="eastAsia" w:ascii="宋体" w:hAnsi="宋体" w:eastAsia="宋体"/>
        </w:rPr>
        <w:t>），</w:t>
      </w:r>
      <w:r>
        <w:rPr>
          <w:rFonts w:hint="eastAsia" w:ascii="宋体" w:hAnsi="宋体" w:eastAsia="宋体"/>
          <w:u w:val="single"/>
        </w:rPr>
        <w:t xml:space="preserve">    (响应供应商名称)    </w:t>
      </w:r>
      <w:r>
        <w:rPr>
          <w:rFonts w:hint="eastAsia" w:ascii="宋体" w:hAnsi="宋体" w:eastAsia="宋体"/>
        </w:rPr>
        <w:t>作为响应供应商已正式授权</w:t>
      </w:r>
      <w:r>
        <w:rPr>
          <w:rFonts w:hint="eastAsia" w:ascii="宋体" w:hAnsi="宋体" w:eastAsia="宋体"/>
          <w:u w:val="single"/>
        </w:rPr>
        <w:t xml:space="preserve">   (响应供应商授权代表全名)   </w:t>
      </w:r>
      <w:r>
        <w:rPr>
          <w:rFonts w:hint="eastAsia" w:ascii="宋体" w:hAnsi="宋体" w:eastAsia="宋体"/>
        </w:rPr>
        <w:t>为我方签名代表，代表我方提交响应文件进行磋商。</w:t>
      </w:r>
    </w:p>
    <w:p w14:paraId="07625FDD">
      <w:pPr>
        <w:spacing w:line="312" w:lineRule="auto"/>
        <w:ind w:firstLine="420" w:firstLineChars="200"/>
        <w:rPr>
          <w:rFonts w:ascii="宋体" w:hAnsi="宋体" w:eastAsia="宋体"/>
        </w:rPr>
      </w:pPr>
      <w:r>
        <w:rPr>
          <w:rFonts w:hint="eastAsia" w:ascii="宋体" w:hAnsi="宋体" w:eastAsia="宋体"/>
        </w:rPr>
        <w:t>签名代表在此声明并同意：</w:t>
      </w:r>
    </w:p>
    <w:p w14:paraId="10966633">
      <w:pPr>
        <w:spacing w:line="312" w:lineRule="auto"/>
        <w:ind w:firstLine="420" w:firstLineChars="200"/>
        <w:rPr>
          <w:rFonts w:ascii="宋体" w:hAnsi="宋体" w:eastAsia="宋体"/>
        </w:rPr>
      </w:pPr>
      <w:r>
        <w:rPr>
          <w:rFonts w:hint="eastAsia" w:ascii="宋体" w:hAnsi="宋体" w:eastAsia="宋体"/>
        </w:rPr>
        <w:t>1. 我们愿意遵守政府采购代理机构发布竞争性磋商文件的各项规定，自愿参加磋商, 并已清楚竞争性磋商文件的要求及有关文件规定，并严格按照竞争性磋商文件的规定履行全部责任和义务。</w:t>
      </w:r>
    </w:p>
    <w:p w14:paraId="2A1574D0">
      <w:pPr>
        <w:spacing w:line="312" w:lineRule="auto"/>
        <w:ind w:firstLine="420" w:firstLineChars="200"/>
        <w:rPr>
          <w:rFonts w:ascii="宋体" w:hAnsi="宋体" w:eastAsia="宋体"/>
        </w:rPr>
      </w:pPr>
      <w:r>
        <w:rPr>
          <w:rFonts w:hint="eastAsia" w:ascii="宋体" w:hAnsi="宋体" w:eastAsia="宋体"/>
        </w:rPr>
        <w:t>2. 我们同意本磋商自磋商截止之日起 90天内有效。如果我们的磋商被接受，则直至合同生效时止，本磋商始终有效。本磋商始终有效并不撤回已递交的响应文件。</w:t>
      </w:r>
    </w:p>
    <w:p w14:paraId="2E8F3C1C">
      <w:pPr>
        <w:spacing w:line="312" w:lineRule="auto"/>
        <w:ind w:firstLine="420" w:firstLineChars="200"/>
        <w:rPr>
          <w:rFonts w:ascii="宋体" w:hAnsi="宋体" w:eastAsia="宋体"/>
        </w:rPr>
      </w:pPr>
      <w:r>
        <w:rPr>
          <w:rFonts w:hint="eastAsia" w:ascii="宋体" w:hAnsi="宋体" w:eastAsia="宋体"/>
        </w:rPr>
        <w:t>3. 我们已经详细地阅读并完全明白了全部竞争性磋商文件及附件，包括澄清（如有）及参考文件，我们完全理解本竞争性磋商文件的要求，我们同意放弃对竞争性磋商文件提出不明或误解的一切权力。</w:t>
      </w:r>
    </w:p>
    <w:p w14:paraId="563787AB">
      <w:pPr>
        <w:spacing w:line="312" w:lineRule="auto"/>
        <w:ind w:firstLine="420" w:firstLineChars="200"/>
        <w:rPr>
          <w:rFonts w:ascii="宋体" w:hAnsi="宋体" w:eastAsia="宋体"/>
        </w:rPr>
      </w:pPr>
      <w:r>
        <w:rPr>
          <w:rFonts w:hint="eastAsia" w:ascii="宋体" w:hAnsi="宋体" w:eastAsia="宋体"/>
        </w:rPr>
        <w:t>4. 我们同意提供招标采购单位与评标委员会要求的有关磋商的一切数据或资料。</w:t>
      </w:r>
    </w:p>
    <w:p w14:paraId="3C5F395D">
      <w:pPr>
        <w:spacing w:line="312" w:lineRule="auto"/>
        <w:ind w:firstLine="420" w:firstLineChars="200"/>
        <w:rPr>
          <w:rFonts w:ascii="宋体" w:hAnsi="宋体" w:eastAsia="宋体"/>
        </w:rPr>
      </w:pPr>
      <w:r>
        <w:rPr>
          <w:rFonts w:hint="eastAsia" w:ascii="宋体" w:hAnsi="宋体" w:eastAsia="宋体"/>
        </w:rPr>
        <w:t>5. 我们理解招标采购单位与磋商小组并无义务必须接受最低报价的磋商或其它任何磋商，完全理解政府采购代理机构拒绝迟到的任何磋商和最低磋商报价不是被授予成交的唯一条件。</w:t>
      </w:r>
    </w:p>
    <w:p w14:paraId="45767064">
      <w:pPr>
        <w:spacing w:line="312" w:lineRule="auto"/>
        <w:ind w:firstLine="420" w:firstLineChars="200"/>
        <w:rPr>
          <w:rFonts w:ascii="宋体" w:hAnsi="宋体" w:eastAsia="宋体"/>
        </w:rPr>
      </w:pPr>
      <w:r>
        <w:rPr>
          <w:rFonts w:hint="eastAsia" w:ascii="宋体" w:hAnsi="宋体" w:eastAsia="宋体"/>
        </w:rPr>
        <w:t>6. 如果我们未对竞争性磋商文件全部要求作出实质性响应，则完全同意并接受按无效磋商处理。</w:t>
      </w:r>
    </w:p>
    <w:p w14:paraId="16B206B0">
      <w:pPr>
        <w:spacing w:line="312" w:lineRule="auto"/>
        <w:ind w:firstLine="420" w:firstLineChars="200"/>
        <w:rPr>
          <w:rFonts w:ascii="宋体" w:hAnsi="宋体" w:eastAsia="宋体"/>
        </w:rPr>
      </w:pPr>
      <w:r>
        <w:rPr>
          <w:rFonts w:hint="eastAsia" w:ascii="宋体" w:hAnsi="宋体" w:eastAsia="宋体"/>
        </w:rPr>
        <w:t>7. 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5A5A9A78">
      <w:pPr>
        <w:spacing w:line="312" w:lineRule="auto"/>
        <w:ind w:firstLine="420" w:firstLineChars="200"/>
        <w:rPr>
          <w:rFonts w:ascii="宋体" w:hAnsi="宋体" w:eastAsia="宋体"/>
        </w:rPr>
      </w:pPr>
      <w:r>
        <w:rPr>
          <w:rFonts w:hint="eastAsia" w:ascii="宋体" w:hAnsi="宋体" w:eastAsia="宋体"/>
        </w:rPr>
        <w:t>8. 如果我们提供的声明或承诺不真实，则完全同意认定为我司提供虚假材料，并同意作相应处理。</w:t>
      </w:r>
    </w:p>
    <w:p w14:paraId="761739E4">
      <w:pPr>
        <w:spacing w:line="312" w:lineRule="auto"/>
        <w:ind w:firstLine="420" w:firstLineChars="200"/>
        <w:rPr>
          <w:rFonts w:ascii="宋体" w:hAnsi="宋体" w:eastAsia="宋体"/>
        </w:rPr>
      </w:pPr>
      <w:r>
        <w:rPr>
          <w:rFonts w:hint="eastAsia" w:ascii="宋体" w:hAnsi="宋体" w:eastAsia="宋体"/>
        </w:rPr>
        <w:t>9. 我们是依法注册的法人，在法律、财务及运作上完全独立于本项目采购人、用户单位（如有）和政府采购代理机构。</w:t>
      </w:r>
    </w:p>
    <w:p w14:paraId="3184302D">
      <w:pPr>
        <w:spacing w:line="312" w:lineRule="auto"/>
        <w:ind w:firstLine="420" w:firstLineChars="200"/>
        <w:rPr>
          <w:rFonts w:ascii="宋体" w:hAnsi="宋体" w:eastAsia="宋体"/>
        </w:rPr>
      </w:pPr>
      <w:r>
        <w:rPr>
          <w:rFonts w:hint="eastAsia" w:ascii="宋体" w:hAnsi="宋体" w:eastAsia="宋体"/>
        </w:rPr>
        <w:t>10.所有有关本次磋商的函电请寄： （响应供应商地址）</w:t>
      </w:r>
    </w:p>
    <w:p w14:paraId="4B440E3A">
      <w:pPr>
        <w:spacing w:line="312" w:lineRule="auto"/>
        <w:ind w:firstLine="420" w:firstLineChars="200"/>
        <w:rPr>
          <w:rFonts w:ascii="宋体" w:hAnsi="宋体" w:eastAsia="宋体"/>
        </w:rPr>
      </w:pPr>
      <w:r>
        <w:rPr>
          <w:rFonts w:hint="eastAsia" w:ascii="宋体" w:hAnsi="宋体" w:eastAsia="宋体"/>
        </w:rPr>
        <w:t>备注：本磋商函内容不得擅自删改。</w:t>
      </w:r>
    </w:p>
    <w:p w14:paraId="64F8FE35">
      <w:pPr>
        <w:spacing w:line="312" w:lineRule="auto"/>
        <w:rPr>
          <w:rFonts w:ascii="宋体" w:hAnsi="宋体" w:eastAsia="宋体"/>
        </w:rPr>
      </w:pPr>
    </w:p>
    <w:p w14:paraId="0520120E">
      <w:pPr>
        <w:spacing w:line="312" w:lineRule="auto"/>
        <w:ind w:firstLine="420" w:firstLineChars="200"/>
        <w:rPr>
          <w:rFonts w:ascii="宋体" w:hAnsi="宋体" w:eastAsia="宋体"/>
        </w:rPr>
      </w:pPr>
      <w:r>
        <w:rPr>
          <w:rFonts w:hint="eastAsia" w:ascii="宋体" w:hAnsi="宋体" w:eastAsia="宋体"/>
        </w:rPr>
        <w:t>法定代表人或响应供应商授权代表（签名或盖章）：</w:t>
      </w:r>
    </w:p>
    <w:p w14:paraId="564B9DED">
      <w:pPr>
        <w:spacing w:line="312" w:lineRule="auto"/>
        <w:ind w:firstLine="420" w:firstLineChars="200"/>
        <w:rPr>
          <w:rFonts w:ascii="宋体" w:hAnsi="宋体" w:eastAsia="宋体"/>
        </w:rPr>
      </w:pPr>
      <w:r>
        <w:rPr>
          <w:rFonts w:hint="eastAsia" w:ascii="宋体" w:hAnsi="宋体" w:eastAsia="宋体"/>
        </w:rPr>
        <w:t>职务：</w:t>
      </w:r>
    </w:p>
    <w:p w14:paraId="11C872E0">
      <w:pPr>
        <w:spacing w:line="312" w:lineRule="auto"/>
        <w:ind w:firstLine="420" w:firstLineChars="200"/>
        <w:rPr>
          <w:rFonts w:ascii="宋体" w:hAnsi="宋体" w:eastAsia="宋体"/>
        </w:rPr>
      </w:pPr>
      <w:r>
        <w:rPr>
          <w:rFonts w:hint="eastAsia" w:ascii="宋体" w:hAnsi="宋体" w:eastAsia="宋体"/>
        </w:rPr>
        <w:t>响应供应商名称:</w:t>
      </w:r>
    </w:p>
    <w:p w14:paraId="55B75E8A">
      <w:pPr>
        <w:spacing w:line="312" w:lineRule="auto"/>
        <w:ind w:firstLine="420" w:firstLineChars="200"/>
        <w:rPr>
          <w:rFonts w:ascii="宋体" w:hAnsi="宋体" w:eastAsia="宋体"/>
        </w:rPr>
      </w:pPr>
      <w:r>
        <w:rPr>
          <w:rFonts w:hint="eastAsia" w:ascii="宋体" w:hAnsi="宋体" w:eastAsia="宋体"/>
        </w:rPr>
        <w:t>响应供应商公章：</w:t>
      </w:r>
    </w:p>
    <w:p w14:paraId="33E4C206">
      <w:pPr>
        <w:spacing w:line="312" w:lineRule="auto"/>
        <w:ind w:firstLine="420" w:firstLineChars="200"/>
        <w:rPr>
          <w:rFonts w:ascii="宋体" w:hAnsi="宋体" w:eastAsia="宋体"/>
        </w:rPr>
      </w:pPr>
      <w:r>
        <w:rPr>
          <w:rFonts w:hint="eastAsia" w:ascii="宋体" w:hAnsi="宋体" w:eastAsia="宋体"/>
        </w:rPr>
        <w:t>电话：      传真：     邮编：</w:t>
      </w:r>
    </w:p>
    <w:p w14:paraId="5A8F142A">
      <w:pPr>
        <w:spacing w:line="312" w:lineRule="auto"/>
        <w:rPr>
          <w:rFonts w:ascii="宋体" w:hAnsi="宋体" w:eastAsia="宋体"/>
        </w:rPr>
      </w:pPr>
    </w:p>
    <w:p w14:paraId="7E939786">
      <w:pPr>
        <w:spacing w:line="312" w:lineRule="auto"/>
        <w:rPr>
          <w:rFonts w:ascii="宋体" w:hAnsi="宋体" w:eastAsia="宋体"/>
        </w:rPr>
      </w:pPr>
    </w:p>
    <w:p w14:paraId="096B3C2B">
      <w:pPr>
        <w:spacing w:line="312" w:lineRule="auto"/>
        <w:rPr>
          <w:rFonts w:ascii="宋体" w:hAnsi="宋体" w:eastAsia="宋体"/>
          <w:b/>
          <w:sz w:val="28"/>
          <w:szCs w:val="28"/>
        </w:rPr>
      </w:pPr>
      <w:r>
        <w:rPr>
          <w:rFonts w:hint="eastAsia" w:ascii="宋体" w:hAnsi="宋体" w:eastAsia="宋体"/>
          <w:b/>
          <w:sz w:val="28"/>
          <w:szCs w:val="28"/>
        </w:rPr>
        <w:t>格式2</w:t>
      </w:r>
    </w:p>
    <w:p w14:paraId="11E24797">
      <w:pPr>
        <w:spacing w:line="312" w:lineRule="auto"/>
        <w:jc w:val="center"/>
        <w:rPr>
          <w:rFonts w:ascii="宋体" w:hAnsi="宋体" w:eastAsia="宋体"/>
          <w:sz w:val="28"/>
          <w:szCs w:val="28"/>
        </w:rPr>
      </w:pPr>
      <w:r>
        <w:rPr>
          <w:rFonts w:hint="eastAsia" w:ascii="宋体" w:hAnsi="宋体" w:eastAsia="宋体"/>
          <w:b/>
          <w:sz w:val="28"/>
          <w:szCs w:val="28"/>
        </w:rPr>
        <w:t>响应供应商承诺声明函</w:t>
      </w:r>
    </w:p>
    <w:p w14:paraId="502E1491">
      <w:pPr>
        <w:spacing w:line="312" w:lineRule="auto"/>
        <w:rPr>
          <w:rFonts w:ascii="宋体" w:hAnsi="宋体" w:eastAsia="宋体"/>
        </w:rPr>
      </w:pPr>
      <w:r>
        <w:rPr>
          <w:rFonts w:hint="eastAsia" w:ascii="宋体" w:hAnsi="宋体" w:eastAsia="宋体"/>
        </w:rPr>
        <w:t>广东创富工程管理有限公司：</w:t>
      </w:r>
    </w:p>
    <w:p w14:paraId="083EAB96">
      <w:pPr>
        <w:spacing w:line="312" w:lineRule="auto"/>
        <w:ind w:firstLine="420" w:firstLineChars="200"/>
        <w:rPr>
          <w:rFonts w:ascii="宋体" w:hAnsi="宋体" w:eastAsia="宋体"/>
        </w:rPr>
      </w:pPr>
      <w:r>
        <w:rPr>
          <w:rFonts w:hint="eastAsia" w:ascii="宋体" w:hAnsi="宋体" w:eastAsia="宋体"/>
        </w:rPr>
        <w:t>关于贵公司</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年</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月</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日</w:t>
      </w:r>
      <w:r>
        <w:rPr>
          <w:rFonts w:hint="eastAsia" w:ascii="宋体" w:hAnsi="宋体" w:eastAsia="宋体"/>
        </w:rPr>
        <w:t>发布</w:t>
      </w:r>
      <w:r>
        <w:rPr>
          <w:rFonts w:hint="eastAsia" w:ascii="宋体" w:hAnsi="宋体" w:eastAsia="宋体"/>
          <w:u w:val="single"/>
        </w:rPr>
        <w:t xml:space="preserve">  （项目名称）  </w:t>
      </w:r>
      <w:r>
        <w:rPr>
          <w:rFonts w:hint="eastAsia" w:ascii="宋体" w:hAnsi="宋体" w:eastAsia="宋体"/>
        </w:rPr>
        <w:t>（项目编号：</w:t>
      </w:r>
      <w:r>
        <w:rPr>
          <w:rFonts w:hint="eastAsia" w:ascii="宋体" w:hAnsi="宋体" w:eastAsia="宋体"/>
          <w:lang w:eastAsia="zh-CN"/>
        </w:rPr>
        <w:t>GDCF-YN-CG-20250802</w:t>
      </w:r>
      <w:r>
        <w:rPr>
          <w:rFonts w:hint="eastAsia" w:ascii="宋体" w:hAnsi="宋体" w:eastAsia="宋体"/>
        </w:rPr>
        <w:t>）的磋商公告，本公司（企业）愿意参加磋商，并承诺声明如下：</w:t>
      </w:r>
    </w:p>
    <w:p w14:paraId="4817EAE3">
      <w:pPr>
        <w:spacing w:line="312" w:lineRule="auto"/>
        <w:ind w:firstLine="420" w:firstLineChars="200"/>
        <w:rPr>
          <w:rFonts w:ascii="宋体" w:hAnsi="宋体" w:eastAsia="宋体"/>
        </w:rPr>
      </w:pPr>
      <w:r>
        <w:rPr>
          <w:rFonts w:hint="eastAsia" w:ascii="宋体" w:hAnsi="宋体" w:eastAsia="宋体"/>
        </w:rPr>
        <w:t>（一）具有独立承担民事责任的能力；（在中华人民共和国境内注册的法人或其他组织或自然人，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40E94FF">
      <w:pPr>
        <w:spacing w:line="312" w:lineRule="auto"/>
        <w:ind w:firstLine="420" w:firstLineChars="200"/>
        <w:rPr>
          <w:rFonts w:ascii="宋体" w:hAnsi="宋体" w:eastAsia="宋体"/>
        </w:rPr>
      </w:pPr>
      <w:r>
        <w:rPr>
          <w:rFonts w:hint="eastAsia" w:ascii="宋体" w:hAnsi="宋体" w:eastAsia="宋体"/>
        </w:rPr>
        <w:t>（二）具有良好的商业信誉和健全的财务会计制度；</w:t>
      </w:r>
    </w:p>
    <w:p w14:paraId="37C6B35C">
      <w:pPr>
        <w:spacing w:line="312" w:lineRule="auto"/>
        <w:ind w:firstLine="420" w:firstLineChars="200"/>
        <w:rPr>
          <w:rFonts w:ascii="宋体" w:hAnsi="宋体" w:eastAsia="宋体"/>
        </w:rPr>
      </w:pPr>
      <w:r>
        <w:rPr>
          <w:rFonts w:hint="eastAsia" w:ascii="宋体" w:hAnsi="宋体" w:eastAsia="宋体"/>
        </w:rPr>
        <w:t>（三）具有履行合同所必需的设备和专业技术能力；</w:t>
      </w:r>
    </w:p>
    <w:p w14:paraId="7000BCDA">
      <w:pPr>
        <w:spacing w:line="312" w:lineRule="auto"/>
        <w:ind w:firstLine="420" w:firstLineChars="200"/>
        <w:rPr>
          <w:rFonts w:ascii="宋体" w:hAnsi="宋体" w:eastAsia="宋体"/>
        </w:rPr>
      </w:pPr>
      <w:r>
        <w:rPr>
          <w:rFonts w:hint="eastAsia" w:ascii="宋体" w:hAnsi="宋体" w:eastAsia="宋体"/>
        </w:rPr>
        <w:t>（四）有依法缴纳税收和社会保障资金的良好记录；</w:t>
      </w:r>
    </w:p>
    <w:p w14:paraId="76094A3B">
      <w:pPr>
        <w:spacing w:line="312" w:lineRule="auto"/>
        <w:ind w:firstLine="420" w:firstLineChars="200"/>
        <w:rPr>
          <w:rFonts w:ascii="宋体" w:hAnsi="宋体" w:eastAsia="宋体"/>
        </w:rPr>
      </w:pPr>
      <w:r>
        <w:rPr>
          <w:rFonts w:hint="eastAsia" w:ascii="宋体" w:hAnsi="宋体" w:eastAsia="宋体"/>
        </w:rPr>
        <w:t>（五）参加采购活动前3年内，在经营活动中没有重大违法记录：参照投标（报价）函相关承诺格式内容。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7B66FB0">
      <w:pPr>
        <w:spacing w:line="312" w:lineRule="auto"/>
        <w:ind w:firstLine="420" w:firstLineChars="200"/>
        <w:rPr>
          <w:rFonts w:ascii="宋体" w:hAnsi="宋体" w:eastAsia="宋体"/>
        </w:rPr>
      </w:pPr>
      <w:r>
        <w:rPr>
          <w:rFonts w:hint="eastAsia" w:ascii="宋体" w:hAnsi="宋体" w:eastAsia="宋体"/>
        </w:rPr>
        <w:t>（六）法律、行政法规规定的其他条件；</w:t>
      </w:r>
    </w:p>
    <w:p w14:paraId="4BF1BB72">
      <w:pPr>
        <w:spacing w:line="312" w:lineRule="auto"/>
        <w:ind w:firstLine="420" w:firstLineChars="200"/>
        <w:rPr>
          <w:rFonts w:ascii="宋体" w:hAnsi="宋体" w:eastAsia="宋体"/>
        </w:rPr>
      </w:pPr>
      <w:r>
        <w:rPr>
          <w:rFonts w:hint="eastAsia" w:ascii="宋体" w:hAnsi="宋体" w:eastAsia="宋体"/>
        </w:rPr>
        <w:t>（七）</w:t>
      </w:r>
      <w:r>
        <w:rPr>
          <w:rFonts w:hint="eastAsia" w:ascii="宋体" w:hAnsi="宋体" w:eastAsia="宋体"/>
          <w:bCs/>
          <w:color w:val="000000" w:themeColor="text1"/>
          <w14:textFill>
            <w14:solidFill>
              <w14:schemeClr w14:val="tx1"/>
            </w14:solidFill>
          </w14:textFill>
        </w:rPr>
        <w:t>具有有效期内的《食品经营许可证》</w:t>
      </w:r>
      <w:r>
        <w:rPr>
          <w:rFonts w:hint="eastAsia" w:ascii="宋体" w:hAnsi="宋体" w:eastAsia="宋体"/>
        </w:rPr>
        <w:t>。</w:t>
      </w:r>
    </w:p>
    <w:p w14:paraId="19956D9B">
      <w:pPr>
        <w:spacing w:line="312" w:lineRule="auto"/>
        <w:ind w:firstLine="420" w:firstLineChars="200"/>
        <w:rPr>
          <w:rFonts w:ascii="宋体" w:hAnsi="宋体" w:eastAsia="宋体"/>
        </w:rPr>
      </w:pPr>
      <w:r>
        <w:rPr>
          <w:rFonts w:hint="eastAsia" w:ascii="宋体" w:hAnsi="宋体" w:eastAsia="宋体"/>
        </w:rPr>
        <w:t>（八）不接受联合体投标。</w:t>
      </w:r>
    </w:p>
    <w:p w14:paraId="419F7219">
      <w:pPr>
        <w:spacing w:line="312" w:lineRule="auto"/>
        <w:ind w:firstLine="420" w:firstLineChars="200"/>
        <w:rPr>
          <w:rFonts w:ascii="宋体" w:hAnsi="宋体" w:eastAsia="宋体"/>
        </w:rPr>
      </w:pPr>
      <w:r>
        <w:rPr>
          <w:rFonts w:hint="eastAsia" w:ascii="宋体" w:hAnsi="宋体" w:eastAsia="宋体"/>
        </w:rPr>
        <w:t>注：以上须提供相关有效证明材料。</w:t>
      </w:r>
    </w:p>
    <w:p w14:paraId="24A2842A">
      <w:pPr>
        <w:spacing w:line="312" w:lineRule="auto"/>
        <w:ind w:firstLine="420" w:firstLineChars="200"/>
        <w:rPr>
          <w:rFonts w:ascii="宋体" w:hAnsi="宋体" w:eastAsia="宋体"/>
        </w:rPr>
      </w:pPr>
      <w:r>
        <w:rPr>
          <w:rFonts w:hint="eastAsia" w:ascii="宋体" w:hAnsi="宋体" w:eastAsia="宋体"/>
        </w:rPr>
        <w:t>本公司（企业）已清楚竞争性磋商文件的要求及有关文件规定。</w:t>
      </w:r>
    </w:p>
    <w:p w14:paraId="609C8700">
      <w:pPr>
        <w:spacing w:line="312" w:lineRule="auto"/>
        <w:ind w:firstLine="420" w:firstLineChars="200"/>
        <w:rPr>
          <w:rFonts w:ascii="宋体" w:hAnsi="宋体" w:eastAsia="宋体"/>
        </w:rPr>
      </w:pPr>
      <w:r>
        <w:rPr>
          <w:rFonts w:hint="eastAsia" w:ascii="宋体" w:hAnsi="宋体" w:eastAsia="宋体"/>
        </w:rPr>
        <w:t>本公司（企业）的法定代表人或单位负责人与本项目其他投标人的法定代表人或单位负责人不为同一人且与其他投标人之间不存在直接控股、管理关系。</w:t>
      </w:r>
    </w:p>
    <w:p w14:paraId="4603C755">
      <w:pPr>
        <w:spacing w:line="312" w:lineRule="auto"/>
        <w:ind w:firstLine="420" w:firstLineChars="200"/>
        <w:rPr>
          <w:rFonts w:ascii="宋体" w:hAnsi="宋体" w:eastAsia="宋体"/>
        </w:rPr>
      </w:pPr>
      <w:r>
        <w:rPr>
          <w:rFonts w:hint="eastAsia" w:ascii="宋体" w:hAnsi="宋体" w:eastAsia="宋体"/>
        </w:rPr>
        <w:t>本公司（企业）承诺在本次招标采购活动中，如有违法、违规、弄虚作假行为，所造成的损失、不良后果及法律责任，一律由我公司（企业）承担。</w:t>
      </w:r>
    </w:p>
    <w:p w14:paraId="1728ED62">
      <w:pPr>
        <w:spacing w:line="312" w:lineRule="auto"/>
        <w:ind w:firstLine="420" w:firstLineChars="200"/>
        <w:rPr>
          <w:rFonts w:ascii="宋体" w:hAnsi="宋体" w:eastAsia="宋体"/>
        </w:rPr>
      </w:pPr>
      <w:r>
        <w:rPr>
          <w:rFonts w:hint="eastAsia" w:ascii="宋体" w:hAnsi="宋体" w:eastAsia="宋体"/>
        </w:rPr>
        <w:t>特此声明！</w:t>
      </w:r>
    </w:p>
    <w:p w14:paraId="7E4692D2">
      <w:pPr>
        <w:spacing w:line="312" w:lineRule="auto"/>
        <w:rPr>
          <w:rFonts w:ascii="宋体" w:hAnsi="宋体" w:eastAsia="宋体"/>
        </w:rPr>
      </w:pPr>
    </w:p>
    <w:p w14:paraId="19B4A3D3">
      <w:pPr>
        <w:spacing w:line="312" w:lineRule="auto"/>
        <w:rPr>
          <w:rFonts w:ascii="宋体" w:hAnsi="宋体" w:eastAsia="宋体"/>
        </w:rPr>
      </w:pPr>
    </w:p>
    <w:p w14:paraId="104EFA61">
      <w:pPr>
        <w:spacing w:line="312" w:lineRule="auto"/>
        <w:rPr>
          <w:rFonts w:ascii="宋体" w:hAnsi="宋体" w:eastAsia="宋体"/>
        </w:rPr>
      </w:pPr>
      <w:r>
        <w:rPr>
          <w:rFonts w:hint="eastAsia" w:ascii="宋体" w:hAnsi="宋体" w:eastAsia="宋体"/>
        </w:rPr>
        <w:t>单位名称：                          法定代表人或响应供应商授权代表（签名或盖章）：</w:t>
      </w:r>
    </w:p>
    <w:p w14:paraId="4075DEEF">
      <w:pPr>
        <w:spacing w:line="312" w:lineRule="auto"/>
        <w:rPr>
          <w:rFonts w:ascii="宋体" w:hAnsi="宋体" w:eastAsia="宋体"/>
        </w:rPr>
      </w:pPr>
      <w:r>
        <w:rPr>
          <w:rFonts w:hint="eastAsia" w:ascii="宋体" w:hAnsi="宋体" w:eastAsia="宋体"/>
        </w:rPr>
        <w:t>单位地址：                          单位公章：</w:t>
      </w:r>
    </w:p>
    <w:p w14:paraId="43FF50EC">
      <w:pPr>
        <w:spacing w:line="312" w:lineRule="auto"/>
        <w:rPr>
          <w:rFonts w:ascii="宋体" w:hAnsi="宋体" w:eastAsia="宋体"/>
        </w:rPr>
      </w:pPr>
      <w:r>
        <w:rPr>
          <w:rFonts w:hint="eastAsia" w:ascii="宋体" w:hAnsi="宋体" w:eastAsia="宋体"/>
        </w:rPr>
        <w:t>邮政编码：                          日    期：</w:t>
      </w:r>
    </w:p>
    <w:p w14:paraId="0763ABE0">
      <w:pPr>
        <w:spacing w:line="312" w:lineRule="auto"/>
        <w:rPr>
          <w:rFonts w:ascii="宋体" w:hAnsi="宋体" w:eastAsia="宋体"/>
        </w:rPr>
      </w:pPr>
      <w:r>
        <w:rPr>
          <w:rFonts w:hint="eastAsia" w:ascii="宋体" w:hAnsi="宋体" w:eastAsia="宋体"/>
        </w:rPr>
        <w:t>联系电话：</w:t>
      </w:r>
    </w:p>
    <w:p w14:paraId="39260180">
      <w:pPr>
        <w:spacing w:line="312" w:lineRule="auto"/>
        <w:rPr>
          <w:rFonts w:ascii="宋体" w:hAnsi="宋体" w:eastAsia="宋体"/>
        </w:rPr>
      </w:pPr>
    </w:p>
    <w:p w14:paraId="224BEB6F">
      <w:pPr>
        <w:spacing w:line="312" w:lineRule="auto"/>
        <w:rPr>
          <w:rFonts w:ascii="宋体" w:hAnsi="宋体" w:eastAsia="宋体"/>
        </w:rPr>
      </w:pPr>
      <w:r>
        <w:rPr>
          <w:rFonts w:hint="eastAsia" w:ascii="宋体" w:hAnsi="宋体" w:eastAsia="宋体"/>
          <w:b/>
          <w:sz w:val="28"/>
          <w:szCs w:val="28"/>
        </w:rPr>
        <w:t>格式3</w:t>
      </w:r>
    </w:p>
    <w:p w14:paraId="61D76C35">
      <w:pPr>
        <w:spacing w:line="312" w:lineRule="auto"/>
        <w:jc w:val="center"/>
        <w:rPr>
          <w:rFonts w:ascii="宋体" w:hAnsi="宋体" w:eastAsia="宋体"/>
          <w:b/>
          <w:sz w:val="28"/>
          <w:szCs w:val="28"/>
        </w:rPr>
      </w:pPr>
      <w:r>
        <w:rPr>
          <w:rFonts w:hint="eastAsia" w:ascii="宋体" w:hAnsi="宋体" w:eastAsia="宋体"/>
          <w:b/>
          <w:sz w:val="28"/>
          <w:szCs w:val="28"/>
        </w:rPr>
        <w:t>法定代表人授权委托书</w:t>
      </w:r>
    </w:p>
    <w:p w14:paraId="28A732CD">
      <w:pPr>
        <w:spacing w:line="312" w:lineRule="auto"/>
        <w:ind w:firstLine="420" w:firstLineChars="200"/>
        <w:rPr>
          <w:rFonts w:ascii="宋体" w:hAnsi="宋体" w:eastAsia="宋体"/>
        </w:rPr>
      </w:pPr>
    </w:p>
    <w:p w14:paraId="1BFA0FE7">
      <w:pPr>
        <w:spacing w:line="312" w:lineRule="auto"/>
        <w:ind w:firstLine="420" w:firstLineChars="200"/>
        <w:rPr>
          <w:rFonts w:ascii="宋体" w:hAnsi="宋体" w:eastAsia="宋体"/>
        </w:rPr>
      </w:pPr>
      <w:r>
        <w:rPr>
          <w:rFonts w:hint="eastAsia" w:ascii="宋体" w:hAnsi="宋体" w:eastAsia="宋体"/>
        </w:rPr>
        <w:t>本授权委托书声明：注册于</w:t>
      </w:r>
      <w:r>
        <w:rPr>
          <w:rFonts w:hint="eastAsia" w:ascii="宋体" w:hAnsi="宋体" w:eastAsia="宋体"/>
          <w:u w:val="single"/>
        </w:rPr>
        <w:t xml:space="preserve">    （响应供应商地址）   </w:t>
      </w:r>
      <w:r>
        <w:rPr>
          <w:rFonts w:hint="eastAsia" w:ascii="宋体" w:hAnsi="宋体" w:eastAsia="宋体"/>
        </w:rPr>
        <w:t>的</w:t>
      </w:r>
      <w:r>
        <w:rPr>
          <w:rFonts w:hint="eastAsia" w:ascii="宋体" w:hAnsi="宋体" w:eastAsia="宋体"/>
          <w:u w:val="single"/>
        </w:rPr>
        <w:t xml:space="preserve">   （响应供应商名称）  </w:t>
      </w:r>
      <w:r>
        <w:rPr>
          <w:rFonts w:hint="eastAsia" w:ascii="宋体" w:hAnsi="宋体" w:eastAsia="宋体"/>
        </w:rPr>
        <w:t>在下面签名的</w:t>
      </w:r>
      <w:r>
        <w:rPr>
          <w:rFonts w:hint="eastAsia" w:ascii="宋体" w:hAnsi="宋体" w:eastAsia="宋体"/>
          <w:u w:val="single"/>
        </w:rPr>
        <w:t xml:space="preserve">  （法定代表人姓名、职务）   </w:t>
      </w:r>
      <w:r>
        <w:rPr>
          <w:rFonts w:hint="eastAsia" w:ascii="宋体" w:hAnsi="宋体" w:eastAsia="宋体"/>
        </w:rPr>
        <w:t>在此授权</w:t>
      </w:r>
      <w:r>
        <w:rPr>
          <w:rFonts w:hint="eastAsia" w:ascii="宋体" w:hAnsi="宋体" w:eastAsia="宋体"/>
          <w:u w:val="single"/>
        </w:rPr>
        <w:t xml:space="preserve">   （被授权人姓名、职务）   </w:t>
      </w:r>
      <w:r>
        <w:rPr>
          <w:rFonts w:hint="eastAsia" w:ascii="宋体" w:hAnsi="宋体" w:eastAsia="宋体"/>
        </w:rPr>
        <w:t>作为我公司的合法代理人，就</w:t>
      </w:r>
      <w:r>
        <w:rPr>
          <w:rFonts w:hint="eastAsia" w:ascii="宋体" w:hAnsi="宋体" w:eastAsia="宋体"/>
          <w:u w:val="single"/>
        </w:rPr>
        <w:t xml:space="preserve">    （项目名称）    </w:t>
      </w:r>
      <w:r>
        <w:rPr>
          <w:rFonts w:hint="eastAsia" w:ascii="宋体" w:hAnsi="宋体" w:eastAsia="宋体"/>
        </w:rPr>
        <w:t>（项目编号：</w:t>
      </w:r>
      <w:r>
        <w:rPr>
          <w:rFonts w:hint="eastAsia" w:ascii="宋体" w:hAnsi="宋体" w:eastAsia="宋体"/>
          <w:lang w:eastAsia="zh-CN"/>
        </w:rPr>
        <w:t>GDCF-YN-CG-20250802</w:t>
      </w:r>
      <w:r>
        <w:rPr>
          <w:rFonts w:hint="eastAsia" w:ascii="宋体" w:hAnsi="宋体" w:eastAsia="宋体"/>
        </w:rPr>
        <w:t>）的磋商活动，提交响应文件及采购合同的签订、执行、完成和售后服务，作为响应供应商代表以我方的名义处理一切与之有关的事务。</w:t>
      </w:r>
    </w:p>
    <w:p w14:paraId="3B8B0E51">
      <w:pPr>
        <w:spacing w:line="312" w:lineRule="auto"/>
        <w:ind w:firstLine="420" w:firstLineChars="200"/>
        <w:rPr>
          <w:rFonts w:ascii="宋体" w:hAnsi="宋体" w:eastAsia="宋体"/>
        </w:rPr>
      </w:pPr>
      <w:r>
        <w:rPr>
          <w:rFonts w:hint="eastAsia" w:ascii="宋体" w:hAnsi="宋体" w:eastAsia="宋体"/>
        </w:rPr>
        <w:t>被授权人（响应供应商授权代表）无转委托权限。</w:t>
      </w:r>
    </w:p>
    <w:p w14:paraId="476BE53E">
      <w:pPr>
        <w:spacing w:line="312" w:lineRule="auto"/>
        <w:ind w:firstLine="420" w:firstLineChars="200"/>
        <w:rPr>
          <w:rFonts w:ascii="宋体" w:hAnsi="宋体" w:eastAsia="宋体"/>
        </w:rPr>
      </w:pPr>
      <w:r>
        <w:rPr>
          <w:rFonts w:hint="eastAsia" w:ascii="宋体" w:hAnsi="宋体" w:eastAsia="宋体"/>
        </w:rPr>
        <w:t>本授权书自法定代表人签字之日起生效，特此声明。</w:t>
      </w:r>
    </w:p>
    <w:p w14:paraId="69BEFF30">
      <w:pPr>
        <w:spacing w:line="312" w:lineRule="auto"/>
        <w:rPr>
          <w:rFonts w:ascii="宋体" w:hAnsi="宋体" w:eastAsia="宋体"/>
        </w:rPr>
      </w:pPr>
    </w:p>
    <w:p w14:paraId="06A8BD0A">
      <w:pPr>
        <w:spacing w:line="312" w:lineRule="auto"/>
        <w:ind w:firstLine="420" w:firstLineChars="200"/>
        <w:rPr>
          <w:rFonts w:ascii="宋体" w:hAnsi="宋体" w:eastAsia="宋体"/>
        </w:rPr>
      </w:pPr>
      <w:r>
        <w:rPr>
          <w:rFonts w:hint="eastAsia" w:ascii="宋体" w:hAnsi="宋体" w:eastAsia="宋体"/>
        </w:rPr>
        <w:t>随附《法定代表人证明》</w:t>
      </w:r>
    </w:p>
    <w:p w14:paraId="3C6E5588">
      <w:pPr>
        <w:spacing w:line="312" w:lineRule="auto"/>
        <w:rPr>
          <w:rFonts w:ascii="宋体" w:hAnsi="宋体" w:eastAsia="宋体"/>
        </w:rPr>
      </w:pPr>
    </w:p>
    <w:p w14:paraId="5FA08EE7">
      <w:pPr>
        <w:spacing w:line="312" w:lineRule="auto"/>
        <w:rPr>
          <w:rFonts w:ascii="宋体" w:hAnsi="宋体" w:eastAsia="宋体"/>
        </w:rPr>
      </w:pPr>
    </w:p>
    <w:p w14:paraId="15AFD958">
      <w:pPr>
        <w:spacing w:line="312" w:lineRule="auto"/>
        <w:rPr>
          <w:rFonts w:ascii="宋体" w:hAnsi="宋体" w:eastAsia="宋体"/>
        </w:rPr>
      </w:pPr>
      <w:r>
        <w:rPr>
          <w:rFonts w:hint="eastAsia" w:ascii="宋体" w:hAnsi="宋体" w:eastAsia="宋体"/>
        </w:rPr>
        <w:t>响应供应商名称（盖公章）：</w:t>
      </w:r>
    </w:p>
    <w:p w14:paraId="11E8D489">
      <w:pPr>
        <w:spacing w:line="312" w:lineRule="auto"/>
        <w:rPr>
          <w:rFonts w:ascii="宋体" w:hAnsi="宋体" w:eastAsia="宋体"/>
        </w:rPr>
      </w:pPr>
      <w:r>
        <w:rPr>
          <w:rFonts w:hint="eastAsia" w:ascii="宋体" w:hAnsi="宋体" w:eastAsia="宋体"/>
        </w:rPr>
        <w:t>地址：</w:t>
      </w:r>
    </w:p>
    <w:p w14:paraId="346B0FFA">
      <w:pPr>
        <w:spacing w:line="312" w:lineRule="auto"/>
        <w:rPr>
          <w:rFonts w:ascii="宋体" w:hAnsi="宋体" w:eastAsia="宋体"/>
        </w:rPr>
      </w:pPr>
      <w:r>
        <w:rPr>
          <w:rFonts w:hint="eastAsia" w:ascii="宋体" w:hAnsi="宋体" w:eastAsia="宋体"/>
        </w:rPr>
        <w:t>法定代表人（签字或盖章）：         签字日期：</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14:paraId="31AE5D85">
      <w:pPr>
        <w:spacing w:line="312" w:lineRule="auto"/>
        <w:rPr>
          <w:rFonts w:ascii="宋体" w:hAnsi="宋体" w:eastAsia="宋体"/>
        </w:rPr>
      </w:pPr>
    </w:p>
    <w:p w14:paraId="22544701">
      <w:pPr>
        <w:spacing w:line="312" w:lineRule="auto"/>
        <w:rPr>
          <w:rFonts w:ascii="宋体" w:hAnsi="宋体" w:eastAsia="宋体"/>
        </w:rPr>
      </w:pPr>
      <w:r>
        <w:rPr>
          <w:rFonts w:hint="eastAsia" w:ascii="宋体" w:hAnsi="宋体" w:eastAsia="宋体"/>
        </w:rPr>
        <w:t>被授权人（响应供应商授权代表）（签字或盖章）：</w:t>
      </w:r>
    </w:p>
    <w:p w14:paraId="563F79B8">
      <w:pPr>
        <w:spacing w:line="312" w:lineRule="auto"/>
        <w:rPr>
          <w:rFonts w:ascii="宋体" w:hAnsi="宋体" w:eastAsia="宋体"/>
        </w:rPr>
      </w:pPr>
    </w:p>
    <w:p w14:paraId="0B32837C">
      <w:pPr>
        <w:spacing w:line="312" w:lineRule="auto"/>
        <w:jc w:val="right"/>
        <w:rPr>
          <w:rFonts w:ascii="宋体" w:hAnsi="宋体" w:eastAsia="宋体"/>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3385820</wp:posOffset>
                </wp:positionH>
                <wp:positionV relativeFrom="paragraph">
                  <wp:posOffset>70485</wp:posOffset>
                </wp:positionV>
                <wp:extent cx="2470150" cy="1309370"/>
                <wp:effectExtent l="12700" t="12700" r="12700" b="30480"/>
                <wp:wrapNone/>
                <wp:docPr id="2" name="矩形 4"/>
                <wp:cNvGraphicFramePr/>
                <a:graphic xmlns:a="http://schemas.openxmlformats.org/drawingml/2006/main">
                  <a:graphicData uri="http://schemas.microsoft.com/office/word/2010/wordprocessingShape">
                    <wps:wsp>
                      <wps:cNvSpPr/>
                      <wps:spPr>
                        <a:xfrm>
                          <a:off x="0" y="0"/>
                          <a:ext cx="2470150" cy="1309370"/>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5A4EB974">
                            <w:pPr>
                              <w:jc w:val="center"/>
                            </w:pPr>
                            <w:r>
                              <w:rPr>
                                <w:rFonts w:hint="eastAsia"/>
                              </w:rPr>
                              <w:t>被授权人身份证复印件黏贴处</w:t>
                            </w:r>
                          </w:p>
                          <w:p w14:paraId="2F13033E">
                            <w:pPr>
                              <w:jc w:val="center"/>
                            </w:pPr>
                            <w:r>
                              <w:rPr>
                                <w:rFonts w:hint="eastAsia"/>
                              </w:rPr>
                              <w:t>（反面）</w:t>
                            </w:r>
                          </w:p>
                        </w:txbxContent>
                      </wps:txbx>
                      <wps:bodyPr anchor="ctr" anchorCtr="0" upright="1"/>
                    </wps:wsp>
                  </a:graphicData>
                </a:graphic>
              </wp:anchor>
            </w:drawing>
          </mc:Choice>
          <mc:Fallback>
            <w:pict>
              <v:rect id="矩形 4" o:spid="_x0000_s1026" o:spt="1" style="position:absolute;left:0pt;margin-left:266.6pt;margin-top:5.55pt;height:103.1pt;width:194.5pt;z-index:251660288;v-text-anchor:middle;mso-width-relative:page;mso-height-relative:page;" fillcolor="#FFFFFF" filled="t" stroked="t" coordsize="21600,21600" o:gfxdata="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POgsXXAAAACgEAAA8AAAAAAAAA&#10;AQAgAAAAIgAAAGRycy9kb3ducmV2LnhtbFBLAQIUABQAAAAIAIdO4kDJ1YjgEgIAAEYEAAAOAAAA&#10;AAAAAAEAIAAAACYBAABkcnMvZTJvRG9jLnhtbFBLBQYAAAAABgAGAFkBAACqBQAAAAA=&#10;">
                <v:fill on="t" focussize="0,0"/>
                <v:stroke weight="2pt" color="#000000" joinstyle="miter"/>
                <v:imagedata o:title=""/>
                <o:lock v:ext="edit" aspectratio="f"/>
                <v:textbox>
                  <w:txbxContent>
                    <w:p w14:paraId="5A4EB974">
                      <w:pPr>
                        <w:jc w:val="center"/>
                      </w:pPr>
                      <w:r>
                        <w:rPr>
                          <w:rFonts w:hint="eastAsia"/>
                        </w:rPr>
                        <w:t>被授权人身份证复印件黏贴处</w:t>
                      </w:r>
                    </w:p>
                    <w:p w14:paraId="2F13033E">
                      <w:pPr>
                        <w:jc w:val="center"/>
                      </w:pPr>
                      <w:r>
                        <w:rPr>
                          <w:rFonts w:hint="eastAsia"/>
                        </w:rPr>
                        <w:t>（反面）</w:t>
                      </w:r>
                    </w:p>
                  </w:txbxContent>
                </v:textbox>
              </v:rect>
            </w:pict>
          </mc:Fallback>
        </mc:AlternateContent>
      </w:r>
      <w:r>
        <w:rPr>
          <w:rFonts w:ascii="宋体" w:hAnsi="宋体" w:eastAsia="宋体"/>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70485</wp:posOffset>
                </wp:positionV>
                <wp:extent cx="2470150" cy="1309370"/>
                <wp:effectExtent l="12700" t="12700" r="12700" b="30480"/>
                <wp:wrapNone/>
                <wp:docPr id="1" name="矩形 1"/>
                <wp:cNvGraphicFramePr/>
                <a:graphic xmlns:a="http://schemas.openxmlformats.org/drawingml/2006/main">
                  <a:graphicData uri="http://schemas.microsoft.com/office/word/2010/wordprocessingShape">
                    <wps:wsp>
                      <wps:cNvSpPr/>
                      <wps:spPr>
                        <a:xfrm>
                          <a:off x="0" y="0"/>
                          <a:ext cx="2470150" cy="1309370"/>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39CEB7AA">
                            <w:pPr>
                              <w:jc w:val="center"/>
                            </w:pPr>
                            <w:r>
                              <w:rPr>
                                <w:rFonts w:hint="eastAsia"/>
                              </w:rPr>
                              <w:t>被授权人身份证复印件黏贴处</w:t>
                            </w:r>
                          </w:p>
                          <w:p w14:paraId="128FAF6F">
                            <w:pPr>
                              <w:jc w:val="center"/>
                            </w:pPr>
                            <w:r>
                              <w:rPr>
                                <w:rFonts w:hint="eastAsia"/>
                              </w:rPr>
                              <w:t>（正面）</w:t>
                            </w:r>
                          </w:p>
                        </w:txbxContent>
                      </wps:txbx>
                      <wps:bodyPr anchor="ctr" anchorCtr="0" upright="1"/>
                    </wps:wsp>
                  </a:graphicData>
                </a:graphic>
              </wp:anchor>
            </w:drawing>
          </mc:Choice>
          <mc:Fallback>
            <w:pict>
              <v:rect id="_x0000_s1026" o:spid="_x0000_s1026" o:spt="1" style="position:absolute;left:0pt;margin-left:11.95pt;margin-top:5.55pt;height:103.1pt;width:194.5pt;z-index:251659264;v-text-anchor:middle;mso-width-relative:page;mso-height-relative:page;" fillcolor="#FFFFFF" filled="t" stroked="t" coordsize="21600,21600" o:gfxdata="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NBbE1gAAAAkBAAAPAAAAAAAAAAEA&#10;IAAAACIAAABkcnMvZG93bnJldi54bWxQSwECFAAUAAAACACHTuJA2VgNvhECAABGBAAADgAAAAAA&#10;AAABACAAAAAlAQAAZHJzL2Uyb0RvYy54bWxQSwUGAAAAAAYABgBZAQAAqAUAAAAA&#10;">
                <v:fill on="t" focussize="0,0"/>
                <v:stroke weight="2pt" color="#000000" joinstyle="miter"/>
                <v:imagedata o:title=""/>
                <o:lock v:ext="edit" aspectratio="f"/>
                <v:textbox>
                  <w:txbxContent>
                    <w:p w14:paraId="39CEB7AA">
                      <w:pPr>
                        <w:jc w:val="center"/>
                      </w:pPr>
                      <w:r>
                        <w:rPr>
                          <w:rFonts w:hint="eastAsia"/>
                        </w:rPr>
                        <w:t>被授权人身份证复印件黏贴处</w:t>
                      </w:r>
                    </w:p>
                    <w:p w14:paraId="128FAF6F">
                      <w:pPr>
                        <w:jc w:val="center"/>
                      </w:pPr>
                      <w:r>
                        <w:rPr>
                          <w:rFonts w:hint="eastAsia"/>
                        </w:rPr>
                        <w:t>（正面）</w:t>
                      </w:r>
                    </w:p>
                  </w:txbxContent>
                </v:textbox>
              </v:rect>
            </w:pict>
          </mc:Fallback>
        </mc:AlternateContent>
      </w:r>
      <w:r>
        <w:rPr>
          <w:rFonts w:hint="eastAsia" w:ascii="宋体" w:hAnsi="宋体" w:eastAsia="宋体"/>
        </w:rPr>
        <w:t xml:space="preserve">  </w:t>
      </w:r>
    </w:p>
    <w:p w14:paraId="0FFC2739">
      <w:pPr>
        <w:spacing w:line="312" w:lineRule="auto"/>
        <w:rPr>
          <w:rFonts w:ascii="宋体" w:hAnsi="宋体" w:eastAsia="宋体"/>
        </w:rPr>
      </w:pPr>
    </w:p>
    <w:p w14:paraId="44E29323">
      <w:pPr>
        <w:spacing w:line="312" w:lineRule="auto"/>
        <w:jc w:val="right"/>
        <w:rPr>
          <w:rFonts w:ascii="宋体" w:hAnsi="宋体" w:eastAsia="宋体"/>
        </w:rPr>
      </w:pPr>
    </w:p>
    <w:p w14:paraId="0FF9F340">
      <w:pPr>
        <w:spacing w:line="312" w:lineRule="auto"/>
        <w:rPr>
          <w:rFonts w:ascii="宋体" w:hAnsi="宋体" w:eastAsia="宋体"/>
        </w:rPr>
      </w:pPr>
    </w:p>
    <w:p w14:paraId="13591A8D">
      <w:pPr>
        <w:spacing w:line="312" w:lineRule="auto"/>
        <w:rPr>
          <w:rFonts w:ascii="宋体" w:hAnsi="宋体" w:eastAsia="宋体"/>
        </w:rPr>
      </w:pPr>
    </w:p>
    <w:p w14:paraId="3669D8D5">
      <w:pPr>
        <w:spacing w:line="312" w:lineRule="auto"/>
        <w:rPr>
          <w:rFonts w:ascii="宋体" w:hAnsi="宋体" w:eastAsia="宋体"/>
        </w:rPr>
      </w:pPr>
    </w:p>
    <w:p w14:paraId="6277D12C">
      <w:pPr>
        <w:spacing w:line="312" w:lineRule="auto"/>
        <w:rPr>
          <w:rFonts w:ascii="宋体" w:hAnsi="宋体" w:eastAsia="宋体"/>
        </w:rPr>
      </w:pPr>
    </w:p>
    <w:p w14:paraId="19EB78AE">
      <w:pPr>
        <w:spacing w:line="312" w:lineRule="auto"/>
        <w:rPr>
          <w:rFonts w:ascii="宋体" w:hAnsi="宋体" w:eastAsia="宋体"/>
        </w:rPr>
      </w:pPr>
    </w:p>
    <w:p w14:paraId="732D1D4E">
      <w:pPr>
        <w:spacing w:line="312" w:lineRule="auto"/>
        <w:rPr>
          <w:rFonts w:ascii="宋体" w:hAnsi="宋体" w:eastAsia="宋体"/>
        </w:rPr>
      </w:pPr>
    </w:p>
    <w:p w14:paraId="4ACC898C">
      <w:pPr>
        <w:spacing w:line="312" w:lineRule="auto"/>
        <w:rPr>
          <w:rFonts w:ascii="宋体" w:hAnsi="宋体" w:eastAsia="宋体"/>
        </w:rPr>
      </w:pPr>
    </w:p>
    <w:p w14:paraId="287D0FE8">
      <w:pPr>
        <w:spacing w:line="312" w:lineRule="auto"/>
        <w:rPr>
          <w:rFonts w:ascii="宋体" w:hAnsi="宋体" w:eastAsia="宋体"/>
        </w:rPr>
      </w:pPr>
    </w:p>
    <w:p w14:paraId="6CCAE56A">
      <w:pPr>
        <w:spacing w:line="312" w:lineRule="auto"/>
        <w:rPr>
          <w:rFonts w:ascii="宋体" w:hAnsi="宋体" w:eastAsia="宋体"/>
        </w:rPr>
      </w:pPr>
    </w:p>
    <w:p w14:paraId="68B840D5">
      <w:pPr>
        <w:spacing w:line="312" w:lineRule="auto"/>
        <w:rPr>
          <w:rFonts w:ascii="宋体" w:hAnsi="宋体" w:eastAsia="宋体"/>
        </w:rPr>
      </w:pPr>
    </w:p>
    <w:p w14:paraId="2C228111">
      <w:pPr>
        <w:spacing w:line="312" w:lineRule="auto"/>
        <w:rPr>
          <w:rFonts w:ascii="宋体" w:hAnsi="宋体" w:eastAsia="宋体"/>
        </w:rPr>
      </w:pPr>
    </w:p>
    <w:p w14:paraId="1ADD36B0">
      <w:pPr>
        <w:spacing w:line="312" w:lineRule="auto"/>
        <w:rPr>
          <w:rFonts w:ascii="宋体" w:hAnsi="宋体" w:eastAsia="宋体"/>
          <w:b/>
          <w:sz w:val="28"/>
          <w:szCs w:val="28"/>
        </w:rPr>
      </w:pPr>
      <w:r>
        <w:rPr>
          <w:rFonts w:hint="eastAsia" w:ascii="宋体" w:hAnsi="宋体" w:eastAsia="宋体"/>
          <w:b/>
          <w:sz w:val="28"/>
          <w:szCs w:val="28"/>
        </w:rPr>
        <w:t>格式4</w:t>
      </w:r>
    </w:p>
    <w:p w14:paraId="32850CA7">
      <w:pPr>
        <w:spacing w:line="312" w:lineRule="auto"/>
        <w:jc w:val="center"/>
        <w:rPr>
          <w:rFonts w:ascii="宋体" w:hAnsi="宋体" w:eastAsia="宋体"/>
          <w:sz w:val="28"/>
          <w:szCs w:val="28"/>
        </w:rPr>
      </w:pPr>
      <w:r>
        <w:rPr>
          <w:rFonts w:ascii="宋体" w:hAnsi="宋体" w:eastAsia="宋体"/>
          <w:b/>
          <w:sz w:val="28"/>
          <w:szCs w:val="28"/>
        </w:rPr>
        <w:t>法定代表人证明书</w:t>
      </w:r>
    </w:p>
    <w:p w14:paraId="35BB401F">
      <w:pPr>
        <w:spacing w:line="312" w:lineRule="auto"/>
        <w:ind w:firstLine="560" w:firstLineChars="200"/>
        <w:rPr>
          <w:rFonts w:ascii="宋体" w:hAnsi="宋体" w:eastAsia="宋体"/>
          <w:sz w:val="28"/>
          <w:szCs w:val="28"/>
        </w:rPr>
      </w:pPr>
    </w:p>
    <w:p w14:paraId="23D76EE7">
      <w:pPr>
        <w:spacing w:line="312" w:lineRule="auto"/>
        <w:ind w:firstLine="420" w:firstLineChars="200"/>
        <w:rPr>
          <w:rFonts w:ascii="宋体" w:hAnsi="宋体" w:eastAsia="宋体"/>
        </w:rPr>
      </w:pPr>
      <w:r>
        <w:rPr>
          <w:rFonts w:ascii="宋体" w:hAnsi="宋体" w:eastAsia="宋体"/>
          <w:u w:val="single"/>
        </w:rPr>
        <w:t>______________</w:t>
      </w:r>
      <w:r>
        <w:rPr>
          <w:rFonts w:ascii="宋体" w:hAnsi="宋体" w:eastAsia="宋体"/>
        </w:rPr>
        <w:t>同志，现任我单位</w:t>
      </w:r>
      <w:r>
        <w:rPr>
          <w:rFonts w:hint="eastAsia" w:ascii="宋体" w:hAnsi="宋体" w:eastAsia="宋体"/>
          <w:u w:val="single"/>
        </w:rPr>
        <w:t xml:space="preserve">    </w:t>
      </w:r>
      <w:r>
        <w:rPr>
          <w:rFonts w:ascii="宋体" w:hAnsi="宋体" w:eastAsia="宋体"/>
        </w:rPr>
        <w:t>职务，为法定代表人，特此证明。</w:t>
      </w:r>
    </w:p>
    <w:p w14:paraId="69A60BD2">
      <w:pPr>
        <w:spacing w:line="312" w:lineRule="auto"/>
        <w:ind w:firstLine="420" w:firstLineChars="200"/>
        <w:rPr>
          <w:rFonts w:ascii="宋体" w:hAnsi="宋体" w:eastAsia="宋体"/>
        </w:rPr>
      </w:pPr>
      <w:r>
        <w:rPr>
          <w:rFonts w:ascii="宋体" w:hAnsi="宋体" w:eastAsia="宋体"/>
        </w:rPr>
        <w:t>本证明书自签发之日起生效，有效期与本公司响应文件中标注的响应有效期相同。</w:t>
      </w:r>
    </w:p>
    <w:p w14:paraId="7608FB2D">
      <w:pPr>
        <w:spacing w:line="312" w:lineRule="auto"/>
        <w:rPr>
          <w:rFonts w:ascii="宋体" w:hAnsi="宋体" w:eastAsia="宋体"/>
        </w:rPr>
      </w:pPr>
    </w:p>
    <w:p w14:paraId="3F4BD1DD">
      <w:pPr>
        <w:spacing w:line="312" w:lineRule="auto"/>
        <w:rPr>
          <w:rFonts w:ascii="宋体" w:hAnsi="宋体" w:eastAsia="宋体"/>
        </w:rPr>
      </w:pPr>
      <w:r>
        <w:rPr>
          <w:rFonts w:ascii="宋体" w:hAnsi="宋体" w:eastAsia="宋体"/>
        </w:rPr>
        <w:t>附：</w:t>
      </w:r>
    </w:p>
    <w:p w14:paraId="74BE4486">
      <w:pPr>
        <w:spacing w:line="312" w:lineRule="auto"/>
        <w:rPr>
          <w:rFonts w:ascii="宋体" w:hAnsi="宋体" w:eastAsia="宋体"/>
        </w:rPr>
      </w:pPr>
      <w:r>
        <w:rPr>
          <w:rFonts w:ascii="宋体" w:hAnsi="宋体" w:eastAsia="宋体"/>
        </w:rPr>
        <w:t>营业执照（注册号）：</w:t>
      </w:r>
    </w:p>
    <w:p w14:paraId="3C228DA4">
      <w:pPr>
        <w:spacing w:line="312" w:lineRule="auto"/>
        <w:rPr>
          <w:rFonts w:ascii="宋体" w:hAnsi="宋体" w:eastAsia="宋体"/>
        </w:rPr>
      </w:pPr>
      <w:r>
        <w:rPr>
          <w:rFonts w:ascii="宋体" w:hAnsi="宋体" w:eastAsia="宋体"/>
        </w:rPr>
        <w:t>经济性质：</w:t>
      </w:r>
    </w:p>
    <w:p w14:paraId="17E0CCA1">
      <w:pPr>
        <w:spacing w:line="312" w:lineRule="auto"/>
        <w:rPr>
          <w:rFonts w:ascii="宋体" w:hAnsi="宋体" w:eastAsia="宋体"/>
        </w:rPr>
      </w:pPr>
      <w:r>
        <w:rPr>
          <w:rFonts w:ascii="宋体" w:hAnsi="宋体" w:eastAsia="宋体"/>
        </w:rPr>
        <w:t>主营（产）：</w:t>
      </w:r>
    </w:p>
    <w:p w14:paraId="3FB3F596">
      <w:pPr>
        <w:spacing w:line="312" w:lineRule="auto"/>
        <w:rPr>
          <w:rFonts w:ascii="宋体" w:hAnsi="宋体" w:eastAsia="宋体"/>
        </w:rPr>
      </w:pPr>
      <w:r>
        <w:rPr>
          <w:rFonts w:ascii="宋体" w:hAnsi="宋体" w:eastAsia="宋体"/>
        </w:rPr>
        <w:t>兼营（产）：</w:t>
      </w:r>
    </w:p>
    <w:p w14:paraId="1A49E4E4">
      <w:pPr>
        <w:spacing w:line="312" w:lineRule="auto"/>
        <w:rPr>
          <w:rFonts w:ascii="宋体" w:hAnsi="宋体" w:eastAsia="宋体"/>
        </w:rPr>
      </w:pPr>
    </w:p>
    <w:p w14:paraId="150897C0">
      <w:pPr>
        <w:spacing w:line="312" w:lineRule="auto"/>
        <w:rPr>
          <w:rFonts w:ascii="宋体" w:hAnsi="宋体" w:eastAsia="宋体"/>
        </w:rPr>
      </w:pPr>
      <w:r>
        <w:rPr>
          <w:rFonts w:ascii="宋体" w:hAnsi="宋体" w:eastAsia="宋体"/>
        </w:rPr>
        <mc:AlternateContent>
          <mc:Choice Requires="wps">
            <w:drawing>
              <wp:anchor distT="0" distB="0" distL="114300" distR="114300" simplePos="0" relativeHeight="251662336" behindDoc="0" locked="0" layoutInCell="1" allowOverlap="1">
                <wp:simplePos x="0" y="0"/>
                <wp:positionH relativeFrom="column">
                  <wp:posOffset>3332480</wp:posOffset>
                </wp:positionH>
                <wp:positionV relativeFrom="paragraph">
                  <wp:posOffset>159385</wp:posOffset>
                </wp:positionV>
                <wp:extent cx="2394585" cy="1200785"/>
                <wp:effectExtent l="12700" t="12700" r="31115" b="24765"/>
                <wp:wrapNone/>
                <wp:docPr id="4" name="矩形 8"/>
                <wp:cNvGraphicFramePr/>
                <a:graphic xmlns:a="http://schemas.openxmlformats.org/drawingml/2006/main">
                  <a:graphicData uri="http://schemas.microsoft.com/office/word/2010/wordprocessingShape">
                    <wps:wsp>
                      <wps:cNvSpPr/>
                      <wps:spPr>
                        <a:xfrm>
                          <a:off x="0" y="0"/>
                          <a:ext cx="2394585" cy="120078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159B059B">
                            <w:pPr>
                              <w:jc w:val="center"/>
                            </w:pPr>
                            <w:r>
                              <w:rPr>
                                <w:rFonts w:hint="eastAsia"/>
                              </w:rPr>
                              <w:t>法定代表人身份证复印件黏贴处</w:t>
                            </w:r>
                          </w:p>
                          <w:p w14:paraId="57BC8EA0">
                            <w:pPr>
                              <w:jc w:val="center"/>
                            </w:pPr>
                            <w:r>
                              <w:rPr>
                                <w:rFonts w:hint="eastAsia"/>
                              </w:rPr>
                              <w:t>（反面）</w:t>
                            </w:r>
                          </w:p>
                        </w:txbxContent>
                      </wps:txbx>
                      <wps:bodyPr anchor="ctr" anchorCtr="0" upright="1"/>
                    </wps:wsp>
                  </a:graphicData>
                </a:graphic>
              </wp:anchor>
            </w:drawing>
          </mc:Choice>
          <mc:Fallback>
            <w:pict>
              <v:rect id="矩形 8" o:spid="_x0000_s1026" o:spt="1" style="position:absolute;left:0pt;margin-left:262.4pt;margin-top:12.55pt;height:94.55pt;width:188.55pt;z-index:251662336;v-text-anchor:middle;mso-width-relative:page;mso-height-relative:page;" fillcolor="#FFFFFF" filled="t" stroked="t" coordsize="21600,21600" o:gfxdata="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WiVqtcAAAAKAQAADwAAAAAAAAABACAA&#10;AAAiAAAAZHJzL2Rvd25yZXYueG1sUEsBAhQAFAAAAAgAh07iQIQZ28oOAgAARgQAAA4AAAAAAAAA&#10;AQAgAAAAJgEAAGRycy9lMm9Eb2MueG1sUEsFBgAAAAAGAAYAWQEAAKYFAAAAAA==&#10;">
                <v:fill on="t" focussize="0,0"/>
                <v:stroke weight="2pt" color="#000000" joinstyle="miter"/>
                <v:imagedata o:title=""/>
                <o:lock v:ext="edit" aspectratio="f"/>
                <v:textbox>
                  <w:txbxContent>
                    <w:p w14:paraId="159B059B">
                      <w:pPr>
                        <w:jc w:val="center"/>
                      </w:pPr>
                      <w:r>
                        <w:rPr>
                          <w:rFonts w:hint="eastAsia"/>
                        </w:rPr>
                        <w:t>法定代表人身份证复印件黏贴处</w:t>
                      </w:r>
                    </w:p>
                    <w:p w14:paraId="57BC8EA0">
                      <w:pPr>
                        <w:jc w:val="center"/>
                      </w:pPr>
                      <w:r>
                        <w:rPr>
                          <w:rFonts w:hint="eastAsia"/>
                        </w:rPr>
                        <w:t>（反面）</w:t>
                      </w:r>
                    </w:p>
                  </w:txbxContent>
                </v:textbox>
              </v:rect>
            </w:pict>
          </mc:Fallback>
        </mc:AlternateContent>
      </w:r>
      <w:r>
        <w:rPr>
          <w:rFonts w:ascii="宋体" w:hAnsi="宋体" w:eastAsia="宋体"/>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157480</wp:posOffset>
                </wp:positionV>
                <wp:extent cx="2395220" cy="1200785"/>
                <wp:effectExtent l="12700" t="12700" r="30480" b="24765"/>
                <wp:wrapNone/>
                <wp:docPr id="3" name="矩形 7"/>
                <wp:cNvGraphicFramePr/>
                <a:graphic xmlns:a="http://schemas.openxmlformats.org/drawingml/2006/main">
                  <a:graphicData uri="http://schemas.microsoft.com/office/word/2010/wordprocessingShape">
                    <wps:wsp>
                      <wps:cNvSpPr/>
                      <wps:spPr>
                        <a:xfrm>
                          <a:off x="0" y="0"/>
                          <a:ext cx="2395220" cy="1200785"/>
                        </a:xfrm>
                        <a:prstGeom prst="rect">
                          <a:avLst/>
                        </a:prstGeom>
                        <a:solidFill>
                          <a:srgbClr val="FFFFFF"/>
                        </a:solidFill>
                        <a:ln w="25400" cap="flat" cmpd="sng">
                          <a:solidFill>
                            <a:srgbClr val="000000"/>
                          </a:solidFill>
                          <a:prstDash val="solid"/>
                          <a:miter/>
                          <a:headEnd type="none" w="med" len="med"/>
                          <a:tailEnd type="none" w="med" len="med"/>
                        </a:ln>
                      </wps:spPr>
                      <wps:txbx>
                        <w:txbxContent>
                          <w:p w14:paraId="0A177720">
                            <w:pPr>
                              <w:jc w:val="center"/>
                            </w:pPr>
                            <w:r>
                              <w:rPr>
                                <w:rFonts w:hint="eastAsia"/>
                              </w:rPr>
                              <w:t>法定代表人身份证复印件黏贴处</w:t>
                            </w:r>
                          </w:p>
                          <w:p w14:paraId="62D82F92">
                            <w:pPr>
                              <w:jc w:val="center"/>
                            </w:pPr>
                            <w:r>
                              <w:rPr>
                                <w:rFonts w:hint="eastAsia"/>
                              </w:rPr>
                              <w:t>（正面）</w:t>
                            </w:r>
                          </w:p>
                        </w:txbxContent>
                      </wps:txbx>
                      <wps:bodyPr anchor="ctr" anchorCtr="0" upright="1"/>
                    </wps:wsp>
                  </a:graphicData>
                </a:graphic>
              </wp:anchor>
            </w:drawing>
          </mc:Choice>
          <mc:Fallback>
            <w:pict>
              <v:rect id="矩形 7" o:spid="_x0000_s1026" o:spt="1" style="position:absolute;left:0pt;margin-left:6.55pt;margin-top:12.4pt;height:94.55pt;width:188.6pt;z-index:251661312;v-text-anchor:middle;mso-width-relative:page;mso-height-relative:page;" fillcolor="#FFFFFF" filled="t" stroked="t" coordsize="21600,21600" o:gfxdata="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CnzR1gAAAAkBAAAPAAAAAAAAAAEAIAAA&#10;ACIAAABkcnMvZG93bnJldi54bWxQSwECFAAUAAAACACHTuJAqeKaDA4CAABGBAAADgAAAAAAAAAB&#10;ACAAAAAlAQAAZHJzL2Uyb0RvYy54bWxQSwUGAAAAAAYABgBZAQAApQUAAAAA&#10;">
                <v:fill on="t" focussize="0,0"/>
                <v:stroke weight="2pt" color="#000000" joinstyle="miter"/>
                <v:imagedata o:title=""/>
                <o:lock v:ext="edit" aspectratio="f"/>
                <v:textbox>
                  <w:txbxContent>
                    <w:p w14:paraId="0A177720">
                      <w:pPr>
                        <w:jc w:val="center"/>
                      </w:pPr>
                      <w:r>
                        <w:rPr>
                          <w:rFonts w:hint="eastAsia"/>
                        </w:rPr>
                        <w:t>法定代表人身份证复印件黏贴处</w:t>
                      </w:r>
                    </w:p>
                    <w:p w14:paraId="62D82F92">
                      <w:pPr>
                        <w:jc w:val="center"/>
                      </w:pPr>
                      <w:r>
                        <w:rPr>
                          <w:rFonts w:hint="eastAsia"/>
                        </w:rPr>
                        <w:t>（正面）</w:t>
                      </w:r>
                    </w:p>
                  </w:txbxContent>
                </v:textbox>
              </v:rect>
            </w:pict>
          </mc:Fallback>
        </mc:AlternateContent>
      </w:r>
    </w:p>
    <w:p w14:paraId="6A33ACE3">
      <w:pPr>
        <w:spacing w:line="312" w:lineRule="auto"/>
        <w:rPr>
          <w:rFonts w:ascii="宋体" w:hAnsi="宋体" w:eastAsia="宋体"/>
        </w:rPr>
      </w:pPr>
      <w:r>
        <w:rPr>
          <w:rFonts w:hint="eastAsia" w:ascii="宋体" w:hAnsi="宋体" w:eastAsia="宋体"/>
        </w:rPr>
        <w:t xml:space="preserve">              </w:t>
      </w:r>
    </w:p>
    <w:p w14:paraId="7BBA6D67">
      <w:pPr>
        <w:spacing w:line="312" w:lineRule="auto"/>
        <w:rPr>
          <w:rFonts w:ascii="宋体" w:hAnsi="宋体" w:eastAsia="宋体"/>
        </w:rPr>
      </w:pPr>
    </w:p>
    <w:p w14:paraId="0B2B605B">
      <w:pPr>
        <w:spacing w:line="312" w:lineRule="auto"/>
        <w:rPr>
          <w:rFonts w:ascii="宋体" w:hAnsi="宋体" w:eastAsia="宋体"/>
        </w:rPr>
      </w:pPr>
    </w:p>
    <w:p w14:paraId="4C86DDEC">
      <w:pPr>
        <w:spacing w:line="312" w:lineRule="auto"/>
        <w:rPr>
          <w:rFonts w:ascii="宋体" w:hAnsi="宋体" w:eastAsia="宋体"/>
        </w:rPr>
      </w:pPr>
    </w:p>
    <w:p w14:paraId="5394BE04">
      <w:pPr>
        <w:spacing w:line="312" w:lineRule="auto"/>
        <w:rPr>
          <w:rFonts w:ascii="宋体" w:hAnsi="宋体" w:eastAsia="宋体"/>
        </w:rPr>
      </w:pPr>
    </w:p>
    <w:p w14:paraId="41DC782E">
      <w:pPr>
        <w:spacing w:line="312" w:lineRule="auto"/>
        <w:rPr>
          <w:rFonts w:ascii="宋体" w:hAnsi="宋体" w:eastAsia="宋体"/>
        </w:rPr>
      </w:pPr>
    </w:p>
    <w:p w14:paraId="6F84B0E2">
      <w:pPr>
        <w:spacing w:line="312" w:lineRule="auto"/>
        <w:rPr>
          <w:rFonts w:ascii="宋体" w:hAnsi="宋体" w:eastAsia="宋体"/>
        </w:rPr>
      </w:pPr>
      <w:r>
        <w:rPr>
          <w:rFonts w:hint="eastAsia" w:ascii="宋体" w:hAnsi="宋体" w:eastAsia="宋体"/>
        </w:rPr>
        <w:t>响应供应商名称：（盖公章）：</w:t>
      </w:r>
    </w:p>
    <w:p w14:paraId="71C2CF7B">
      <w:pPr>
        <w:spacing w:line="312" w:lineRule="auto"/>
        <w:rPr>
          <w:rFonts w:ascii="宋体" w:hAnsi="宋体" w:eastAsia="宋体"/>
        </w:rPr>
      </w:pPr>
      <w:r>
        <w:rPr>
          <w:rFonts w:hint="eastAsia" w:ascii="宋体" w:hAnsi="宋体" w:eastAsia="宋体"/>
        </w:rPr>
        <w:t>地址：</w:t>
      </w:r>
    </w:p>
    <w:p w14:paraId="32A16D89">
      <w:pPr>
        <w:spacing w:line="312" w:lineRule="auto"/>
        <w:rPr>
          <w:rFonts w:ascii="宋体" w:hAnsi="宋体" w:eastAsia="宋体"/>
        </w:rPr>
      </w:pPr>
      <w:r>
        <w:rPr>
          <w:rFonts w:hint="eastAsia" w:ascii="宋体" w:hAnsi="宋体" w:eastAsia="宋体"/>
        </w:rPr>
        <w:t>签发日期：</w:t>
      </w:r>
    </w:p>
    <w:p w14:paraId="0F0B4A77">
      <w:pPr>
        <w:spacing w:line="312" w:lineRule="auto"/>
        <w:rPr>
          <w:rFonts w:ascii="宋体" w:hAnsi="宋体" w:eastAsia="宋体"/>
        </w:rPr>
      </w:pPr>
    </w:p>
    <w:p w14:paraId="4AC274AB">
      <w:pPr>
        <w:spacing w:line="312" w:lineRule="auto"/>
        <w:rPr>
          <w:rFonts w:ascii="宋体" w:hAnsi="宋体" w:eastAsia="宋体"/>
        </w:rPr>
      </w:pPr>
    </w:p>
    <w:p w14:paraId="0338E830">
      <w:pPr>
        <w:spacing w:line="312" w:lineRule="auto"/>
        <w:rPr>
          <w:rFonts w:ascii="宋体" w:hAnsi="宋体" w:eastAsia="宋体"/>
        </w:rPr>
      </w:pPr>
    </w:p>
    <w:p w14:paraId="6578A764">
      <w:pPr>
        <w:spacing w:line="312" w:lineRule="auto"/>
        <w:rPr>
          <w:rFonts w:ascii="宋体" w:hAnsi="宋体" w:eastAsia="宋体"/>
        </w:rPr>
      </w:pPr>
    </w:p>
    <w:p w14:paraId="5CA8F970">
      <w:pPr>
        <w:spacing w:line="312" w:lineRule="auto"/>
        <w:rPr>
          <w:rFonts w:ascii="宋体" w:hAnsi="宋体" w:eastAsia="宋体"/>
        </w:rPr>
      </w:pPr>
    </w:p>
    <w:p w14:paraId="39A5302D">
      <w:pPr>
        <w:spacing w:line="312" w:lineRule="auto"/>
        <w:rPr>
          <w:rFonts w:ascii="宋体" w:hAnsi="宋体" w:eastAsia="宋体"/>
        </w:rPr>
      </w:pPr>
    </w:p>
    <w:p w14:paraId="7A3B404E">
      <w:pPr>
        <w:spacing w:line="312" w:lineRule="auto"/>
        <w:rPr>
          <w:rFonts w:ascii="宋体" w:hAnsi="宋体" w:eastAsia="宋体"/>
        </w:rPr>
      </w:pPr>
    </w:p>
    <w:p w14:paraId="79FA9851">
      <w:pPr>
        <w:spacing w:line="312" w:lineRule="auto"/>
        <w:rPr>
          <w:rFonts w:ascii="宋体" w:hAnsi="宋体" w:eastAsia="宋体"/>
        </w:rPr>
      </w:pPr>
    </w:p>
    <w:p w14:paraId="714D6E01">
      <w:pPr>
        <w:spacing w:line="312" w:lineRule="auto"/>
        <w:rPr>
          <w:rFonts w:ascii="宋体" w:hAnsi="宋体" w:eastAsia="宋体"/>
        </w:rPr>
      </w:pPr>
    </w:p>
    <w:p w14:paraId="1AA10A6E">
      <w:pPr>
        <w:spacing w:line="312" w:lineRule="auto"/>
        <w:rPr>
          <w:rFonts w:ascii="宋体" w:hAnsi="宋体" w:eastAsia="宋体"/>
        </w:rPr>
      </w:pPr>
    </w:p>
    <w:p w14:paraId="3272DFC1">
      <w:pPr>
        <w:spacing w:line="312" w:lineRule="auto"/>
        <w:rPr>
          <w:rFonts w:ascii="宋体" w:hAnsi="宋体" w:eastAsia="宋体"/>
        </w:rPr>
      </w:pPr>
    </w:p>
    <w:p w14:paraId="1836290B">
      <w:pPr>
        <w:spacing w:line="312" w:lineRule="auto"/>
        <w:rPr>
          <w:rFonts w:ascii="宋体" w:hAnsi="宋体" w:eastAsia="宋体"/>
          <w:b/>
          <w:sz w:val="28"/>
          <w:szCs w:val="28"/>
        </w:rPr>
      </w:pPr>
      <w:r>
        <w:rPr>
          <w:rFonts w:hint="eastAsia" w:ascii="宋体" w:hAnsi="宋体" w:eastAsia="宋体"/>
          <w:b/>
          <w:sz w:val="28"/>
          <w:szCs w:val="28"/>
        </w:rPr>
        <w:t>格式5</w:t>
      </w:r>
    </w:p>
    <w:p w14:paraId="14F2C43B">
      <w:pPr>
        <w:spacing w:line="312" w:lineRule="auto"/>
        <w:jc w:val="center"/>
        <w:rPr>
          <w:rFonts w:ascii="宋体" w:hAnsi="宋体" w:eastAsia="宋体"/>
          <w:b/>
          <w:sz w:val="28"/>
          <w:szCs w:val="28"/>
        </w:rPr>
      </w:pPr>
      <w:r>
        <w:rPr>
          <w:rFonts w:hint="eastAsia" w:ascii="宋体" w:hAnsi="宋体" w:eastAsia="宋体"/>
          <w:b/>
          <w:sz w:val="28"/>
          <w:szCs w:val="28"/>
        </w:rPr>
        <w:t>实质性条款响应一览表</w:t>
      </w:r>
    </w:p>
    <w:p w14:paraId="71FCA74A">
      <w:pPr>
        <w:spacing w:line="312" w:lineRule="auto"/>
        <w:ind w:firstLine="420" w:firstLineChars="200"/>
        <w:rPr>
          <w:rFonts w:ascii="宋体" w:hAnsi="宋体" w:eastAsia="宋体"/>
        </w:rPr>
      </w:pPr>
      <w:r>
        <w:rPr>
          <w:rFonts w:hint="eastAsia" w:ascii="宋体" w:hAnsi="宋体" w:eastAsia="宋体"/>
        </w:rPr>
        <w:t>说明：响应供应商必须对应竞争性磋商文件带“★”的实质性条款逐条应答并按要求填写下表。</w:t>
      </w:r>
    </w:p>
    <w:p w14:paraId="4F48C549">
      <w:pPr>
        <w:spacing w:line="312" w:lineRule="auto"/>
        <w:rPr>
          <w:rFonts w:ascii="宋体" w:hAnsi="宋体" w:eastAsia="宋体"/>
        </w:rPr>
      </w:pPr>
    </w:p>
    <w:p w14:paraId="45D43866">
      <w:pPr>
        <w:spacing w:line="312" w:lineRule="auto"/>
        <w:rPr>
          <w:rFonts w:ascii="宋体" w:hAnsi="宋体" w:eastAsia="宋体"/>
        </w:rPr>
      </w:pPr>
      <w:r>
        <w:rPr>
          <w:rFonts w:hint="eastAsia" w:ascii="宋体" w:hAnsi="宋体" w:eastAsia="宋体"/>
        </w:rPr>
        <w:t>响应供应商名称：</w:t>
      </w:r>
    </w:p>
    <w:tbl>
      <w:tblPr>
        <w:tblStyle w:val="40"/>
        <w:tblW w:w="971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544"/>
        <w:gridCol w:w="1418"/>
        <w:gridCol w:w="2409"/>
        <w:gridCol w:w="1667"/>
      </w:tblGrid>
      <w:tr w14:paraId="33FEE3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Align w:val="center"/>
          </w:tcPr>
          <w:p w14:paraId="01FF2603">
            <w:pPr>
              <w:spacing w:line="312" w:lineRule="auto"/>
              <w:jc w:val="center"/>
              <w:rPr>
                <w:rFonts w:ascii="宋体" w:hAnsi="宋体" w:eastAsia="宋体"/>
                <w:b/>
              </w:rPr>
            </w:pPr>
            <w:r>
              <w:rPr>
                <w:rFonts w:hint="eastAsia" w:ascii="宋体" w:hAnsi="宋体" w:eastAsia="宋体"/>
                <w:b/>
              </w:rPr>
              <w:t>序号</w:t>
            </w:r>
          </w:p>
        </w:tc>
        <w:tc>
          <w:tcPr>
            <w:tcW w:w="3544" w:type="dxa"/>
            <w:vAlign w:val="center"/>
          </w:tcPr>
          <w:p w14:paraId="520387B1">
            <w:pPr>
              <w:spacing w:line="312" w:lineRule="auto"/>
              <w:jc w:val="center"/>
              <w:rPr>
                <w:rFonts w:ascii="宋体" w:hAnsi="宋体" w:eastAsia="宋体"/>
                <w:b/>
              </w:rPr>
            </w:pPr>
            <w:r>
              <w:rPr>
                <w:rFonts w:hint="eastAsia" w:ascii="宋体" w:hAnsi="宋体" w:eastAsia="宋体"/>
                <w:b/>
              </w:rPr>
              <w:t>竞争性磋商文件★号条款描述</w:t>
            </w:r>
          </w:p>
        </w:tc>
        <w:tc>
          <w:tcPr>
            <w:tcW w:w="1418" w:type="dxa"/>
            <w:vAlign w:val="center"/>
          </w:tcPr>
          <w:p w14:paraId="764A99AA">
            <w:pPr>
              <w:spacing w:line="312" w:lineRule="auto"/>
              <w:jc w:val="center"/>
              <w:rPr>
                <w:rFonts w:ascii="宋体" w:hAnsi="宋体" w:eastAsia="宋体"/>
                <w:b/>
              </w:rPr>
            </w:pPr>
            <w:r>
              <w:rPr>
                <w:rFonts w:hint="eastAsia" w:ascii="宋体" w:hAnsi="宋体" w:eastAsia="宋体"/>
                <w:b/>
              </w:rPr>
              <w:t>响应供应商响应描述</w:t>
            </w:r>
          </w:p>
        </w:tc>
        <w:tc>
          <w:tcPr>
            <w:tcW w:w="2409" w:type="dxa"/>
            <w:vAlign w:val="center"/>
          </w:tcPr>
          <w:p w14:paraId="3CD09ACF">
            <w:pPr>
              <w:spacing w:line="312" w:lineRule="auto"/>
              <w:jc w:val="center"/>
              <w:rPr>
                <w:rFonts w:ascii="宋体" w:hAnsi="宋体" w:eastAsia="宋体"/>
                <w:b/>
              </w:rPr>
            </w:pPr>
            <w:r>
              <w:rPr>
                <w:rFonts w:ascii="宋体" w:hAnsi="宋体" w:eastAsia="宋体"/>
                <w:b/>
              </w:rPr>
              <w:t>偏离情况说明（正偏离/完全响应/负偏离）</w:t>
            </w:r>
          </w:p>
        </w:tc>
        <w:tc>
          <w:tcPr>
            <w:tcW w:w="1667" w:type="dxa"/>
            <w:vAlign w:val="center"/>
          </w:tcPr>
          <w:p w14:paraId="406898B6">
            <w:pPr>
              <w:spacing w:line="312" w:lineRule="auto"/>
              <w:jc w:val="center"/>
              <w:rPr>
                <w:rFonts w:ascii="宋体" w:hAnsi="宋体" w:eastAsia="宋体"/>
                <w:b/>
              </w:rPr>
            </w:pPr>
            <w:r>
              <w:rPr>
                <w:rFonts w:hint="eastAsia" w:ascii="宋体" w:hAnsi="宋体" w:eastAsia="宋体"/>
                <w:b/>
              </w:rPr>
              <w:t>查阅/证明文件指引</w:t>
            </w:r>
          </w:p>
        </w:tc>
      </w:tr>
      <w:tr w14:paraId="540C87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Align w:val="center"/>
          </w:tcPr>
          <w:p w14:paraId="610C9247">
            <w:pPr>
              <w:spacing w:line="312" w:lineRule="auto"/>
              <w:jc w:val="center"/>
              <w:rPr>
                <w:rFonts w:ascii="宋体" w:hAnsi="宋体" w:eastAsia="宋体"/>
              </w:rPr>
            </w:pPr>
            <w:r>
              <w:rPr>
                <w:rFonts w:hint="eastAsia" w:ascii="宋体" w:hAnsi="宋体" w:eastAsia="宋体"/>
              </w:rPr>
              <w:t>1</w:t>
            </w:r>
          </w:p>
        </w:tc>
        <w:tc>
          <w:tcPr>
            <w:tcW w:w="3544" w:type="dxa"/>
          </w:tcPr>
          <w:p w14:paraId="26ADA7D7">
            <w:pPr>
              <w:spacing w:line="240" w:lineRule="exact"/>
              <w:rPr>
                <w:rFonts w:ascii="宋体" w:hAnsi="宋体" w:eastAsia="宋体"/>
              </w:rPr>
            </w:pPr>
          </w:p>
        </w:tc>
        <w:tc>
          <w:tcPr>
            <w:tcW w:w="1418" w:type="dxa"/>
            <w:vAlign w:val="center"/>
          </w:tcPr>
          <w:p w14:paraId="7DF0ADA5">
            <w:pPr>
              <w:spacing w:line="312" w:lineRule="auto"/>
              <w:jc w:val="center"/>
              <w:rPr>
                <w:rFonts w:ascii="宋体" w:hAnsi="宋体" w:eastAsia="宋体"/>
              </w:rPr>
            </w:pPr>
          </w:p>
        </w:tc>
        <w:tc>
          <w:tcPr>
            <w:tcW w:w="2409" w:type="dxa"/>
            <w:vAlign w:val="center"/>
          </w:tcPr>
          <w:p w14:paraId="7508A18A">
            <w:pPr>
              <w:spacing w:line="312" w:lineRule="auto"/>
              <w:jc w:val="center"/>
              <w:rPr>
                <w:rFonts w:ascii="宋体" w:hAnsi="宋体" w:eastAsia="宋体"/>
              </w:rPr>
            </w:pPr>
          </w:p>
        </w:tc>
        <w:tc>
          <w:tcPr>
            <w:tcW w:w="1667" w:type="dxa"/>
            <w:vAlign w:val="center"/>
          </w:tcPr>
          <w:p w14:paraId="6DBE94A2">
            <w:pPr>
              <w:spacing w:line="312" w:lineRule="auto"/>
              <w:jc w:val="center"/>
              <w:rPr>
                <w:rFonts w:ascii="宋体" w:hAnsi="宋体" w:eastAsia="宋体"/>
              </w:rPr>
            </w:pPr>
            <w:r>
              <w:rPr>
                <w:rFonts w:hint="eastAsia" w:ascii="宋体" w:hAnsi="宋体" w:eastAsia="宋体"/>
              </w:rPr>
              <w:t>见《响应文件》</w:t>
            </w:r>
          </w:p>
          <w:p w14:paraId="27982F44">
            <w:pPr>
              <w:spacing w:line="312" w:lineRule="auto"/>
              <w:jc w:val="center"/>
              <w:rPr>
                <w:rFonts w:ascii="宋体" w:hAnsi="宋体" w:eastAsia="宋体"/>
                <w:u w:val="single"/>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页至</w:t>
            </w:r>
            <w:r>
              <w:rPr>
                <w:rFonts w:hint="eastAsia" w:ascii="宋体" w:hAnsi="宋体" w:eastAsia="宋体"/>
                <w:u w:val="single"/>
              </w:rPr>
              <w:t xml:space="preserve">  页</w:t>
            </w:r>
          </w:p>
        </w:tc>
      </w:tr>
      <w:tr w14:paraId="17359E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Align w:val="center"/>
          </w:tcPr>
          <w:p w14:paraId="1C6E68D7">
            <w:pPr>
              <w:spacing w:line="312" w:lineRule="auto"/>
              <w:jc w:val="center"/>
              <w:rPr>
                <w:rFonts w:ascii="宋体" w:hAnsi="宋体" w:eastAsia="宋体"/>
              </w:rPr>
            </w:pPr>
            <w:r>
              <w:rPr>
                <w:rFonts w:hint="eastAsia" w:ascii="宋体" w:hAnsi="宋体" w:eastAsia="宋体"/>
              </w:rPr>
              <w:t>2</w:t>
            </w:r>
          </w:p>
        </w:tc>
        <w:tc>
          <w:tcPr>
            <w:tcW w:w="3544" w:type="dxa"/>
          </w:tcPr>
          <w:p w14:paraId="378C369C">
            <w:pPr>
              <w:spacing w:line="240" w:lineRule="exact"/>
              <w:rPr>
                <w:rFonts w:ascii="宋体" w:hAnsi="宋体" w:eastAsia="宋体"/>
              </w:rPr>
            </w:pPr>
          </w:p>
        </w:tc>
        <w:tc>
          <w:tcPr>
            <w:tcW w:w="1418" w:type="dxa"/>
            <w:vAlign w:val="center"/>
          </w:tcPr>
          <w:p w14:paraId="06F70F84">
            <w:pPr>
              <w:spacing w:line="312" w:lineRule="auto"/>
              <w:jc w:val="center"/>
              <w:rPr>
                <w:rFonts w:ascii="宋体" w:hAnsi="宋体" w:eastAsia="宋体"/>
              </w:rPr>
            </w:pPr>
          </w:p>
        </w:tc>
        <w:tc>
          <w:tcPr>
            <w:tcW w:w="2409" w:type="dxa"/>
            <w:vAlign w:val="center"/>
          </w:tcPr>
          <w:p w14:paraId="41923058">
            <w:pPr>
              <w:spacing w:line="312" w:lineRule="auto"/>
              <w:jc w:val="center"/>
              <w:rPr>
                <w:rFonts w:ascii="宋体" w:hAnsi="宋体" w:eastAsia="宋体"/>
              </w:rPr>
            </w:pPr>
          </w:p>
        </w:tc>
        <w:tc>
          <w:tcPr>
            <w:tcW w:w="1667" w:type="dxa"/>
            <w:vAlign w:val="center"/>
          </w:tcPr>
          <w:p w14:paraId="16233E8E">
            <w:pPr>
              <w:spacing w:line="312" w:lineRule="auto"/>
              <w:jc w:val="center"/>
              <w:rPr>
                <w:rFonts w:ascii="宋体" w:hAnsi="宋体" w:eastAsia="宋体"/>
              </w:rPr>
            </w:pPr>
            <w:r>
              <w:rPr>
                <w:rFonts w:hint="eastAsia" w:ascii="宋体" w:hAnsi="宋体" w:eastAsia="宋体"/>
              </w:rPr>
              <w:t>见《响应文件》</w:t>
            </w:r>
          </w:p>
          <w:p w14:paraId="1211C09F">
            <w:pPr>
              <w:spacing w:line="312" w:lineRule="auto"/>
              <w:jc w:val="center"/>
              <w:rPr>
                <w:rFonts w:ascii="宋体" w:hAnsi="宋体" w:eastAsia="宋体"/>
              </w:rPr>
            </w:pPr>
            <w:r>
              <w:rPr>
                <w:rFonts w:hint="eastAsia" w:ascii="宋体" w:hAnsi="宋体" w:eastAsia="宋体"/>
              </w:rPr>
              <w:t>第</w:t>
            </w:r>
            <w:r>
              <w:rPr>
                <w:rFonts w:hint="eastAsia" w:ascii="宋体" w:hAnsi="宋体" w:eastAsia="宋体"/>
                <w:u w:val="single"/>
              </w:rPr>
              <w:t xml:space="preserve">  </w:t>
            </w:r>
            <w:r>
              <w:rPr>
                <w:rFonts w:hint="eastAsia" w:ascii="宋体" w:hAnsi="宋体" w:eastAsia="宋体"/>
              </w:rPr>
              <w:t>页至</w:t>
            </w:r>
            <w:r>
              <w:rPr>
                <w:rFonts w:hint="eastAsia" w:ascii="宋体" w:hAnsi="宋体" w:eastAsia="宋体"/>
                <w:u w:val="single"/>
              </w:rPr>
              <w:t xml:space="preserve">  页</w:t>
            </w:r>
          </w:p>
        </w:tc>
      </w:tr>
    </w:tbl>
    <w:p w14:paraId="75E874D5">
      <w:pPr>
        <w:spacing w:line="312" w:lineRule="auto"/>
        <w:rPr>
          <w:rFonts w:ascii="宋体" w:hAnsi="宋体" w:eastAsia="宋体"/>
        </w:rPr>
      </w:pPr>
    </w:p>
    <w:p w14:paraId="1591935E">
      <w:pPr>
        <w:spacing w:line="312" w:lineRule="auto"/>
        <w:rPr>
          <w:rFonts w:ascii="宋体" w:hAnsi="宋体" w:eastAsia="宋体"/>
        </w:rPr>
      </w:pPr>
      <w:r>
        <w:rPr>
          <w:rFonts w:hint="eastAsia" w:ascii="宋体" w:hAnsi="宋体" w:eastAsia="宋体"/>
        </w:rPr>
        <w:t>备注：本表中“竞争性磋商文件条款描述”的条款与用户需求中的条款描述不一致的以用户需求中规定的为准，若有附件则附后页。</w:t>
      </w:r>
    </w:p>
    <w:p w14:paraId="6A069095">
      <w:pPr>
        <w:spacing w:line="312" w:lineRule="auto"/>
        <w:rPr>
          <w:rFonts w:ascii="宋体" w:hAnsi="宋体" w:eastAsia="宋体"/>
        </w:rPr>
      </w:pPr>
    </w:p>
    <w:p w14:paraId="3C5DB009">
      <w:pPr>
        <w:spacing w:line="312" w:lineRule="auto"/>
        <w:rPr>
          <w:rFonts w:ascii="宋体" w:hAnsi="宋体" w:eastAsia="宋体"/>
        </w:rPr>
      </w:pPr>
    </w:p>
    <w:p w14:paraId="4C74AE8B">
      <w:pPr>
        <w:spacing w:line="312" w:lineRule="auto"/>
        <w:rPr>
          <w:rFonts w:ascii="宋体" w:hAnsi="宋体" w:eastAsia="宋体"/>
          <w:u w:val="single"/>
        </w:rPr>
      </w:pPr>
      <w:r>
        <w:rPr>
          <w:rFonts w:hint="eastAsia" w:ascii="宋体" w:hAnsi="宋体" w:eastAsia="宋体"/>
        </w:rPr>
        <w:t>响应供应商名称（盖公章）：</w:t>
      </w:r>
      <w:r>
        <w:rPr>
          <w:rFonts w:hint="eastAsia" w:ascii="宋体" w:hAnsi="宋体" w:eastAsia="宋体"/>
          <w:u w:val="single"/>
        </w:rPr>
        <w:t xml:space="preserve">                   </w:t>
      </w:r>
    </w:p>
    <w:p w14:paraId="3A54798F">
      <w:pPr>
        <w:spacing w:line="312" w:lineRule="auto"/>
        <w:rPr>
          <w:rFonts w:ascii="宋体" w:hAnsi="宋体" w:eastAsia="宋体"/>
          <w:u w:val="single"/>
        </w:rPr>
      </w:pPr>
      <w:r>
        <w:rPr>
          <w:rFonts w:hint="eastAsia" w:ascii="宋体" w:hAnsi="宋体" w:eastAsia="宋体"/>
        </w:rPr>
        <w:t>法定代表人或响应供应商授权代表（签名或盖章）：</w:t>
      </w:r>
      <w:r>
        <w:rPr>
          <w:rFonts w:hint="eastAsia" w:ascii="宋体" w:hAnsi="宋体" w:eastAsia="宋体"/>
          <w:u w:val="single"/>
        </w:rPr>
        <w:t xml:space="preserve">             </w:t>
      </w:r>
    </w:p>
    <w:p w14:paraId="3AA33613">
      <w:pPr>
        <w:spacing w:line="312" w:lineRule="auto"/>
        <w:rPr>
          <w:rFonts w:ascii="宋体" w:hAnsi="宋体" w:eastAsia="宋体"/>
          <w:u w:val="single"/>
        </w:rPr>
      </w:pPr>
      <w:r>
        <w:rPr>
          <w:rFonts w:hint="eastAsia" w:ascii="宋体" w:hAnsi="宋体" w:eastAsia="宋体"/>
        </w:rPr>
        <w:t>日   期：</w:t>
      </w:r>
      <w:r>
        <w:rPr>
          <w:rFonts w:hint="eastAsia" w:ascii="宋体" w:hAnsi="宋体" w:eastAsia="宋体"/>
          <w:u w:val="single"/>
        </w:rPr>
        <w:t xml:space="preserve">         </w:t>
      </w:r>
    </w:p>
    <w:p w14:paraId="72759493">
      <w:pPr>
        <w:spacing w:line="312" w:lineRule="auto"/>
        <w:rPr>
          <w:rFonts w:ascii="宋体" w:hAnsi="宋体" w:eastAsia="宋体"/>
        </w:rPr>
      </w:pPr>
    </w:p>
    <w:p w14:paraId="260FF2B5">
      <w:pPr>
        <w:spacing w:line="312" w:lineRule="auto"/>
        <w:rPr>
          <w:rFonts w:ascii="宋体" w:hAnsi="宋体" w:eastAsia="宋体"/>
        </w:rPr>
      </w:pPr>
    </w:p>
    <w:p w14:paraId="436F3315">
      <w:pPr>
        <w:spacing w:line="312" w:lineRule="auto"/>
        <w:rPr>
          <w:rFonts w:ascii="宋体" w:hAnsi="宋体" w:eastAsia="宋体"/>
        </w:rPr>
      </w:pPr>
    </w:p>
    <w:p w14:paraId="6A052C3F">
      <w:pPr>
        <w:spacing w:line="312" w:lineRule="auto"/>
        <w:rPr>
          <w:rFonts w:ascii="宋体" w:hAnsi="宋体" w:eastAsia="宋体"/>
        </w:rPr>
      </w:pPr>
    </w:p>
    <w:p w14:paraId="13AF6EFB">
      <w:pPr>
        <w:spacing w:line="312" w:lineRule="auto"/>
        <w:rPr>
          <w:rFonts w:ascii="宋体" w:hAnsi="宋体" w:eastAsia="宋体"/>
        </w:rPr>
      </w:pPr>
    </w:p>
    <w:p w14:paraId="2537B18A">
      <w:pPr>
        <w:spacing w:line="312" w:lineRule="auto"/>
        <w:rPr>
          <w:rFonts w:ascii="宋体" w:hAnsi="宋体" w:eastAsia="宋体"/>
        </w:rPr>
      </w:pPr>
    </w:p>
    <w:p w14:paraId="199642B9">
      <w:pPr>
        <w:spacing w:line="312" w:lineRule="auto"/>
        <w:rPr>
          <w:rFonts w:ascii="宋体" w:hAnsi="宋体" w:eastAsia="宋体"/>
        </w:rPr>
      </w:pPr>
    </w:p>
    <w:p w14:paraId="6E76D32C">
      <w:pPr>
        <w:spacing w:line="312" w:lineRule="auto"/>
        <w:rPr>
          <w:rFonts w:ascii="宋体" w:hAnsi="宋体" w:eastAsia="宋体"/>
        </w:rPr>
      </w:pPr>
    </w:p>
    <w:p w14:paraId="11C5164D">
      <w:pPr>
        <w:spacing w:line="312" w:lineRule="auto"/>
        <w:rPr>
          <w:rFonts w:ascii="宋体" w:hAnsi="宋体" w:eastAsia="宋体"/>
        </w:rPr>
      </w:pPr>
    </w:p>
    <w:p w14:paraId="2F52EE22">
      <w:pPr>
        <w:spacing w:line="312" w:lineRule="auto"/>
        <w:rPr>
          <w:rFonts w:ascii="宋体" w:hAnsi="宋体" w:eastAsia="宋体"/>
        </w:rPr>
      </w:pPr>
    </w:p>
    <w:p w14:paraId="4C774AE7">
      <w:pPr>
        <w:spacing w:line="312" w:lineRule="auto"/>
        <w:rPr>
          <w:rFonts w:ascii="宋体" w:hAnsi="宋体" w:eastAsia="宋体"/>
        </w:rPr>
      </w:pPr>
    </w:p>
    <w:p w14:paraId="68CFBCC6">
      <w:pPr>
        <w:spacing w:line="312" w:lineRule="auto"/>
        <w:rPr>
          <w:rFonts w:ascii="宋体" w:hAnsi="宋体" w:eastAsia="宋体"/>
        </w:rPr>
      </w:pPr>
    </w:p>
    <w:p w14:paraId="30E499FE">
      <w:pPr>
        <w:spacing w:line="312" w:lineRule="auto"/>
        <w:rPr>
          <w:rFonts w:ascii="宋体" w:hAnsi="宋体" w:eastAsia="宋体"/>
        </w:rPr>
      </w:pPr>
    </w:p>
    <w:p w14:paraId="67A64A54">
      <w:pPr>
        <w:spacing w:line="312" w:lineRule="auto"/>
        <w:rPr>
          <w:rFonts w:ascii="宋体" w:hAnsi="宋体" w:eastAsia="宋体"/>
        </w:rPr>
      </w:pPr>
    </w:p>
    <w:p w14:paraId="56331B78">
      <w:pPr>
        <w:spacing w:line="312" w:lineRule="auto"/>
        <w:rPr>
          <w:rFonts w:ascii="宋体" w:hAnsi="宋体" w:eastAsia="宋体"/>
          <w:b/>
          <w:sz w:val="28"/>
          <w:szCs w:val="28"/>
        </w:rPr>
      </w:pPr>
      <w:r>
        <w:rPr>
          <w:rFonts w:hint="eastAsia" w:ascii="宋体" w:hAnsi="宋体" w:eastAsia="宋体"/>
          <w:b/>
          <w:sz w:val="28"/>
          <w:szCs w:val="28"/>
        </w:rPr>
        <w:t>格式6</w:t>
      </w:r>
    </w:p>
    <w:p w14:paraId="3B8CC243">
      <w:pPr>
        <w:spacing w:line="312" w:lineRule="auto"/>
        <w:jc w:val="center"/>
        <w:rPr>
          <w:rFonts w:ascii="宋体" w:hAnsi="宋体" w:eastAsia="宋体"/>
          <w:b/>
          <w:sz w:val="28"/>
          <w:szCs w:val="28"/>
        </w:rPr>
      </w:pPr>
      <w:r>
        <w:rPr>
          <w:rFonts w:hint="eastAsia" w:ascii="宋体" w:hAnsi="宋体" w:eastAsia="宋体"/>
          <w:b/>
          <w:sz w:val="28"/>
          <w:szCs w:val="28"/>
        </w:rPr>
        <w:t>报价表</w:t>
      </w:r>
    </w:p>
    <w:p w14:paraId="4DAC1989">
      <w:pPr>
        <w:spacing w:line="312" w:lineRule="auto"/>
        <w:jc w:val="center"/>
        <w:rPr>
          <w:rFonts w:ascii="宋体" w:hAnsi="宋体" w:eastAsia="宋体"/>
          <w:b/>
        </w:rPr>
      </w:pPr>
      <w:r>
        <w:rPr>
          <w:rFonts w:hint="eastAsia" w:ascii="宋体" w:hAnsi="宋体" w:eastAsia="宋体"/>
          <w:b/>
        </w:rPr>
        <w:t>（首次报价）</w:t>
      </w:r>
    </w:p>
    <w:p w14:paraId="454615D7">
      <w:pPr>
        <w:spacing w:line="312" w:lineRule="auto"/>
        <w:rPr>
          <w:rFonts w:ascii="宋体" w:hAnsi="宋体" w:eastAsia="宋体"/>
        </w:rPr>
      </w:pPr>
      <w:r>
        <w:rPr>
          <w:rFonts w:hint="eastAsia" w:ascii="宋体" w:hAnsi="宋体" w:eastAsia="宋体"/>
        </w:rPr>
        <w:t>响应供应商名称：</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120"/>
        <w:gridCol w:w="3087"/>
        <w:gridCol w:w="2832"/>
      </w:tblGrid>
      <w:tr w14:paraId="720A1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47" w:type="pct"/>
            <w:tcBorders>
              <w:top w:val="single" w:color="auto" w:sz="12" w:space="0"/>
              <w:bottom w:val="double" w:color="auto" w:sz="4" w:space="0"/>
            </w:tcBorders>
            <w:shd w:val="clear" w:color="auto" w:fill="auto"/>
            <w:noWrap/>
            <w:vAlign w:val="center"/>
          </w:tcPr>
          <w:p w14:paraId="6E656B2F">
            <w:pPr>
              <w:spacing w:line="360" w:lineRule="auto"/>
              <w:jc w:val="center"/>
              <w:rPr>
                <w:rFonts w:ascii="宋体" w:hAnsi="宋体" w:eastAsia="宋体"/>
                <w:b/>
                <w:szCs w:val="21"/>
              </w:rPr>
            </w:pPr>
            <w:r>
              <w:rPr>
                <w:rFonts w:hint="eastAsia" w:ascii="宋体" w:hAnsi="宋体" w:eastAsia="宋体"/>
                <w:b/>
                <w:szCs w:val="21"/>
              </w:rPr>
              <w:t>序号</w:t>
            </w:r>
          </w:p>
        </w:tc>
        <w:tc>
          <w:tcPr>
            <w:tcW w:w="1606" w:type="pct"/>
            <w:tcBorders>
              <w:top w:val="single" w:color="auto" w:sz="12" w:space="0"/>
              <w:bottom w:val="double" w:color="auto" w:sz="4" w:space="0"/>
            </w:tcBorders>
            <w:shd w:val="clear" w:color="auto" w:fill="auto"/>
            <w:noWrap/>
            <w:vAlign w:val="center"/>
          </w:tcPr>
          <w:p w14:paraId="78761C08">
            <w:pPr>
              <w:spacing w:line="360" w:lineRule="auto"/>
              <w:jc w:val="center"/>
              <w:rPr>
                <w:rFonts w:ascii="宋体" w:hAnsi="宋体" w:eastAsia="宋体"/>
                <w:b/>
                <w:szCs w:val="21"/>
              </w:rPr>
            </w:pPr>
            <w:r>
              <w:rPr>
                <w:rFonts w:hint="eastAsia" w:ascii="宋体" w:hAnsi="宋体" w:eastAsia="宋体"/>
                <w:b/>
                <w:szCs w:val="21"/>
              </w:rPr>
              <w:t>项目名称</w:t>
            </w:r>
          </w:p>
        </w:tc>
        <w:tc>
          <w:tcPr>
            <w:tcW w:w="1589" w:type="pct"/>
            <w:tcBorders>
              <w:top w:val="single" w:color="auto" w:sz="12" w:space="0"/>
              <w:bottom w:val="double" w:color="auto" w:sz="4" w:space="0"/>
            </w:tcBorders>
            <w:shd w:val="clear" w:color="auto" w:fill="auto"/>
            <w:noWrap/>
            <w:vAlign w:val="center"/>
          </w:tcPr>
          <w:p w14:paraId="74271396">
            <w:pPr>
              <w:spacing w:line="360" w:lineRule="auto"/>
              <w:jc w:val="center"/>
              <w:rPr>
                <w:rFonts w:ascii="宋体" w:hAnsi="宋体" w:eastAsia="宋体"/>
                <w:b/>
                <w:szCs w:val="21"/>
              </w:rPr>
            </w:pPr>
            <w:r>
              <w:rPr>
                <w:rFonts w:hint="eastAsia" w:ascii="宋体" w:hAnsi="宋体" w:eastAsia="宋体"/>
                <w:b/>
                <w:szCs w:val="21"/>
              </w:rPr>
              <w:t>投标下浮率</w:t>
            </w:r>
          </w:p>
          <w:p w14:paraId="352DC3A9">
            <w:pPr>
              <w:spacing w:line="360" w:lineRule="auto"/>
              <w:jc w:val="center"/>
              <w:rPr>
                <w:rFonts w:ascii="宋体" w:hAnsi="宋体" w:eastAsia="宋体"/>
                <w:b/>
                <w:szCs w:val="21"/>
              </w:rPr>
            </w:pPr>
            <w:r>
              <w:rPr>
                <w:rFonts w:hint="eastAsia" w:ascii="宋体" w:hAnsi="宋体" w:eastAsia="宋体"/>
                <w:b/>
                <w:szCs w:val="21"/>
              </w:rPr>
              <w:t>（%）</w:t>
            </w:r>
          </w:p>
        </w:tc>
        <w:tc>
          <w:tcPr>
            <w:tcW w:w="1458" w:type="pct"/>
            <w:tcBorders>
              <w:top w:val="single" w:color="auto" w:sz="12" w:space="0"/>
              <w:bottom w:val="double" w:color="auto" w:sz="4" w:space="0"/>
            </w:tcBorders>
            <w:shd w:val="clear" w:color="auto" w:fill="auto"/>
            <w:noWrap/>
            <w:vAlign w:val="center"/>
          </w:tcPr>
          <w:p w14:paraId="1315920A">
            <w:pPr>
              <w:spacing w:line="360" w:lineRule="auto"/>
              <w:jc w:val="center"/>
              <w:rPr>
                <w:rFonts w:ascii="宋体" w:hAnsi="宋体" w:eastAsia="宋体"/>
                <w:b/>
                <w:szCs w:val="21"/>
              </w:rPr>
            </w:pPr>
            <w:r>
              <w:rPr>
                <w:rFonts w:hint="eastAsia" w:ascii="宋体" w:hAnsi="宋体" w:eastAsia="宋体"/>
                <w:b/>
                <w:szCs w:val="21"/>
              </w:rPr>
              <w:t>服务期</w:t>
            </w:r>
          </w:p>
        </w:tc>
      </w:tr>
      <w:tr w14:paraId="27C0C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2" w:hRule="atLeast"/>
        </w:trPr>
        <w:tc>
          <w:tcPr>
            <w:tcW w:w="347" w:type="pct"/>
            <w:tcBorders>
              <w:top w:val="double" w:color="auto" w:sz="4" w:space="0"/>
              <w:bottom w:val="single" w:color="auto" w:sz="4" w:space="0"/>
            </w:tcBorders>
            <w:noWrap/>
            <w:vAlign w:val="center"/>
          </w:tcPr>
          <w:p w14:paraId="1A300892">
            <w:pPr>
              <w:jc w:val="center"/>
              <w:rPr>
                <w:rFonts w:ascii="宋体" w:hAnsi="宋体" w:eastAsia="宋体"/>
                <w:bCs/>
                <w:szCs w:val="21"/>
              </w:rPr>
            </w:pPr>
            <w:r>
              <w:rPr>
                <w:rFonts w:hint="eastAsia" w:ascii="宋体" w:hAnsi="宋体" w:eastAsia="宋体"/>
                <w:szCs w:val="21"/>
              </w:rPr>
              <w:t>1</w:t>
            </w:r>
          </w:p>
        </w:tc>
        <w:tc>
          <w:tcPr>
            <w:tcW w:w="1606" w:type="pct"/>
            <w:tcBorders>
              <w:top w:val="double" w:color="auto" w:sz="4" w:space="0"/>
              <w:bottom w:val="single" w:color="auto" w:sz="4" w:space="0"/>
            </w:tcBorders>
            <w:noWrap/>
            <w:vAlign w:val="center"/>
          </w:tcPr>
          <w:p w14:paraId="5978B68C">
            <w:pPr>
              <w:jc w:val="center"/>
              <w:rPr>
                <w:rFonts w:ascii="宋体" w:hAnsi="宋体" w:eastAsia="宋体"/>
                <w:bCs/>
                <w:szCs w:val="21"/>
              </w:rPr>
            </w:pPr>
          </w:p>
        </w:tc>
        <w:tc>
          <w:tcPr>
            <w:tcW w:w="1589" w:type="pct"/>
            <w:tcBorders>
              <w:top w:val="double" w:color="auto" w:sz="4" w:space="0"/>
              <w:bottom w:val="single" w:color="auto" w:sz="4" w:space="0"/>
            </w:tcBorders>
            <w:noWrap/>
            <w:vAlign w:val="center"/>
          </w:tcPr>
          <w:p w14:paraId="7DDC4293">
            <w:pPr>
              <w:snapToGrid w:val="0"/>
              <w:rPr>
                <w:rFonts w:ascii="宋体" w:hAnsi="宋体" w:eastAsia="宋体"/>
                <w:bCs/>
                <w:color w:val="000000"/>
                <w:szCs w:val="21"/>
                <w:u w:val="single"/>
              </w:rPr>
            </w:pPr>
            <w:r>
              <w:rPr>
                <w:rFonts w:hint="eastAsia" w:ascii="宋体" w:hAnsi="宋体" w:eastAsia="宋体"/>
                <w:bCs/>
                <w:color w:val="000000"/>
                <w:szCs w:val="21"/>
              </w:rPr>
              <w:t>小写：</w:t>
            </w:r>
            <w:r>
              <w:rPr>
                <w:rFonts w:hint="eastAsia" w:ascii="宋体" w:hAnsi="宋体" w:eastAsia="宋体"/>
                <w:bCs/>
                <w:color w:val="000000"/>
                <w:szCs w:val="21"/>
                <w:u w:val="single"/>
              </w:rPr>
              <w:t xml:space="preserve">                  </w:t>
            </w:r>
            <w:r>
              <w:rPr>
                <w:rFonts w:hint="eastAsia" w:ascii="宋体" w:hAnsi="宋体" w:eastAsia="宋体"/>
                <w:bCs/>
                <w:color w:val="000000"/>
                <w:szCs w:val="21"/>
              </w:rPr>
              <w:t>%</w:t>
            </w:r>
          </w:p>
          <w:p w14:paraId="2FF91E03">
            <w:pPr>
              <w:spacing w:line="360" w:lineRule="auto"/>
              <w:rPr>
                <w:rFonts w:ascii="宋体" w:hAnsi="宋体" w:eastAsia="宋体"/>
                <w:bCs/>
                <w:szCs w:val="21"/>
                <w:u w:val="single"/>
              </w:rPr>
            </w:pPr>
            <w:r>
              <w:rPr>
                <w:rFonts w:hint="eastAsia" w:ascii="宋体" w:hAnsi="宋体" w:eastAsia="宋体"/>
                <w:bCs/>
                <w:color w:val="000000"/>
                <w:szCs w:val="21"/>
              </w:rPr>
              <w:t>大写：百分之</w:t>
            </w:r>
            <w:r>
              <w:rPr>
                <w:rFonts w:hint="eastAsia" w:ascii="宋体" w:hAnsi="宋体" w:eastAsia="宋体"/>
                <w:bCs/>
                <w:color w:val="000000"/>
                <w:szCs w:val="21"/>
                <w:u w:val="single"/>
              </w:rPr>
              <w:t xml:space="preserve">            </w:t>
            </w:r>
          </w:p>
        </w:tc>
        <w:tc>
          <w:tcPr>
            <w:tcW w:w="1458" w:type="pct"/>
            <w:tcBorders>
              <w:top w:val="double" w:color="auto" w:sz="4" w:space="0"/>
              <w:bottom w:val="single" w:color="auto" w:sz="4" w:space="0"/>
            </w:tcBorders>
            <w:noWrap/>
            <w:vAlign w:val="center"/>
          </w:tcPr>
          <w:p w14:paraId="429DF79C">
            <w:pPr>
              <w:ind w:firstLine="120"/>
              <w:rPr>
                <w:rFonts w:ascii="宋体" w:hAnsi="宋体" w:eastAsia="宋体"/>
                <w:szCs w:val="21"/>
              </w:rPr>
            </w:pPr>
          </w:p>
        </w:tc>
      </w:tr>
    </w:tbl>
    <w:p w14:paraId="25F9F7AF">
      <w:pPr>
        <w:spacing w:line="312" w:lineRule="auto"/>
        <w:rPr>
          <w:rFonts w:ascii="宋体" w:hAnsi="宋体" w:eastAsia="宋体"/>
        </w:rPr>
      </w:pPr>
    </w:p>
    <w:p w14:paraId="4A911866">
      <w:pPr>
        <w:spacing w:line="312" w:lineRule="auto"/>
        <w:rPr>
          <w:rFonts w:ascii="宋体" w:hAnsi="宋体" w:eastAsia="宋体"/>
          <w:u w:val="single"/>
        </w:rPr>
      </w:pPr>
      <w:r>
        <w:rPr>
          <w:rFonts w:hint="eastAsia" w:ascii="宋体" w:hAnsi="宋体" w:eastAsia="宋体"/>
        </w:rPr>
        <w:t>响应供应商名称（盖公章）：</w:t>
      </w:r>
      <w:r>
        <w:rPr>
          <w:rFonts w:hint="eastAsia" w:ascii="宋体" w:hAnsi="宋体" w:eastAsia="宋体"/>
          <w:u w:val="single"/>
        </w:rPr>
        <w:t xml:space="preserve">                   </w:t>
      </w:r>
    </w:p>
    <w:p w14:paraId="5B8BC205">
      <w:pPr>
        <w:spacing w:line="312" w:lineRule="auto"/>
        <w:rPr>
          <w:rFonts w:ascii="宋体" w:hAnsi="宋体" w:eastAsia="宋体"/>
          <w:u w:val="single"/>
        </w:rPr>
      </w:pPr>
      <w:r>
        <w:rPr>
          <w:rFonts w:hint="eastAsia" w:ascii="宋体" w:hAnsi="宋体" w:eastAsia="宋体"/>
        </w:rPr>
        <w:t>法定代表人或响应供应商授权代表（签名或盖章）：</w:t>
      </w:r>
      <w:r>
        <w:rPr>
          <w:rFonts w:hint="eastAsia" w:ascii="宋体" w:hAnsi="宋体" w:eastAsia="宋体"/>
          <w:u w:val="single"/>
        </w:rPr>
        <w:t xml:space="preserve">             </w:t>
      </w:r>
    </w:p>
    <w:p w14:paraId="1EC5452C">
      <w:pPr>
        <w:spacing w:line="312" w:lineRule="auto"/>
        <w:rPr>
          <w:rFonts w:ascii="宋体" w:hAnsi="宋体" w:eastAsia="宋体"/>
          <w:u w:val="single"/>
        </w:rPr>
      </w:pPr>
      <w:r>
        <w:rPr>
          <w:rFonts w:hint="eastAsia" w:ascii="宋体" w:hAnsi="宋体" w:eastAsia="宋体"/>
        </w:rPr>
        <w:t>日   期：</w:t>
      </w:r>
      <w:r>
        <w:rPr>
          <w:rFonts w:hint="eastAsia" w:ascii="宋体" w:hAnsi="宋体" w:eastAsia="宋体"/>
          <w:u w:val="single"/>
        </w:rPr>
        <w:t xml:space="preserve">         </w:t>
      </w:r>
    </w:p>
    <w:p w14:paraId="3327942C">
      <w:pPr>
        <w:spacing w:line="312" w:lineRule="auto"/>
        <w:rPr>
          <w:rFonts w:ascii="宋体" w:hAnsi="宋体" w:eastAsia="宋体"/>
        </w:rPr>
      </w:pPr>
    </w:p>
    <w:p w14:paraId="4F60DEED">
      <w:pPr>
        <w:spacing w:line="312" w:lineRule="auto"/>
        <w:rPr>
          <w:rFonts w:ascii="宋体" w:hAnsi="宋体" w:eastAsia="宋体"/>
        </w:rPr>
      </w:pPr>
      <w:r>
        <w:rPr>
          <w:rFonts w:hint="eastAsia" w:ascii="宋体" w:hAnsi="宋体" w:eastAsia="宋体"/>
        </w:rPr>
        <w:t>备注：</w:t>
      </w:r>
    </w:p>
    <w:p w14:paraId="5E2BFF46">
      <w:pPr>
        <w:spacing w:line="312" w:lineRule="auto"/>
        <w:ind w:firstLine="420" w:firstLineChars="200"/>
        <w:rPr>
          <w:rFonts w:ascii="宋体" w:hAnsi="宋体" w:eastAsia="宋体"/>
        </w:rPr>
      </w:pPr>
      <w:r>
        <w:rPr>
          <w:rFonts w:hint="eastAsia" w:ascii="宋体" w:hAnsi="宋体" w:eastAsia="宋体"/>
        </w:rPr>
        <w:t>1. 磋商总报价为各小计之和。</w:t>
      </w:r>
    </w:p>
    <w:p w14:paraId="1F899D99">
      <w:pPr>
        <w:spacing w:line="312" w:lineRule="auto"/>
        <w:ind w:firstLine="420" w:firstLineChars="200"/>
        <w:rPr>
          <w:rFonts w:ascii="宋体" w:hAnsi="宋体" w:eastAsia="宋体"/>
        </w:rPr>
      </w:pPr>
      <w:r>
        <w:rPr>
          <w:rFonts w:hint="eastAsia" w:ascii="宋体" w:hAnsi="宋体" w:eastAsia="宋体"/>
        </w:rPr>
        <w:t>2. 此表须附在正、副本的响应文件中。</w:t>
      </w:r>
    </w:p>
    <w:p w14:paraId="4AC39F40">
      <w:pPr>
        <w:spacing w:line="312" w:lineRule="auto"/>
        <w:ind w:firstLine="420" w:firstLineChars="200"/>
        <w:rPr>
          <w:rFonts w:ascii="宋体" w:hAnsi="宋体" w:eastAsia="宋体"/>
        </w:rPr>
      </w:pPr>
      <w:r>
        <w:rPr>
          <w:rFonts w:hint="eastAsia" w:ascii="宋体" w:hAnsi="宋体" w:eastAsia="宋体"/>
        </w:rPr>
        <w:t>3. 磋商报价要求具体见第七章“磋商报价”要求。</w:t>
      </w:r>
    </w:p>
    <w:p w14:paraId="1880F3D8">
      <w:pPr>
        <w:spacing w:line="312" w:lineRule="auto"/>
        <w:ind w:left="420" w:leftChars="200"/>
        <w:rPr>
          <w:rFonts w:ascii="宋体" w:hAnsi="宋体" w:eastAsia="宋体"/>
        </w:rPr>
      </w:pPr>
      <w:r>
        <w:rPr>
          <w:rFonts w:hint="eastAsia" w:ascii="宋体" w:hAnsi="宋体" w:eastAsia="宋体"/>
        </w:rPr>
        <w:t>4. 各响应供应商可自行保留一份《首次报价》，以便谈判报价时参考用。</w:t>
      </w:r>
    </w:p>
    <w:p w14:paraId="6EDCAD37">
      <w:pPr>
        <w:spacing w:line="312" w:lineRule="auto"/>
        <w:rPr>
          <w:rFonts w:ascii="宋体" w:hAnsi="宋体" w:eastAsia="宋体"/>
        </w:rPr>
      </w:pPr>
    </w:p>
    <w:p w14:paraId="0266E033">
      <w:pPr>
        <w:spacing w:line="312" w:lineRule="auto"/>
        <w:rPr>
          <w:rFonts w:ascii="宋体" w:hAnsi="宋体" w:eastAsia="宋体"/>
        </w:rPr>
      </w:pPr>
    </w:p>
    <w:p w14:paraId="2261E93D">
      <w:pPr>
        <w:spacing w:line="312" w:lineRule="auto"/>
        <w:rPr>
          <w:rFonts w:ascii="宋体" w:hAnsi="宋体" w:eastAsia="宋体"/>
        </w:rPr>
      </w:pPr>
    </w:p>
    <w:p w14:paraId="15DD91E1">
      <w:pPr>
        <w:spacing w:line="312" w:lineRule="auto"/>
        <w:rPr>
          <w:rFonts w:ascii="宋体" w:hAnsi="宋体" w:eastAsia="宋体"/>
        </w:rPr>
      </w:pPr>
    </w:p>
    <w:p w14:paraId="291A84D7">
      <w:pPr>
        <w:spacing w:line="312" w:lineRule="auto"/>
        <w:rPr>
          <w:rFonts w:ascii="宋体" w:hAnsi="宋体" w:eastAsia="宋体"/>
        </w:rPr>
      </w:pPr>
    </w:p>
    <w:p w14:paraId="1CAE5B7A">
      <w:pPr>
        <w:spacing w:line="312" w:lineRule="auto"/>
        <w:rPr>
          <w:rFonts w:ascii="宋体" w:hAnsi="宋体" w:eastAsia="宋体"/>
        </w:rPr>
      </w:pPr>
    </w:p>
    <w:p w14:paraId="48E6CBE5">
      <w:pPr>
        <w:spacing w:line="312" w:lineRule="auto"/>
        <w:rPr>
          <w:rFonts w:ascii="宋体" w:hAnsi="宋体" w:eastAsia="宋体"/>
        </w:rPr>
      </w:pPr>
    </w:p>
    <w:p w14:paraId="31237797">
      <w:pPr>
        <w:spacing w:line="312" w:lineRule="auto"/>
        <w:rPr>
          <w:rFonts w:ascii="宋体" w:hAnsi="宋体" w:eastAsia="宋体"/>
        </w:rPr>
      </w:pPr>
    </w:p>
    <w:p w14:paraId="43D23B3C">
      <w:pPr>
        <w:spacing w:line="312" w:lineRule="auto"/>
        <w:rPr>
          <w:rFonts w:ascii="宋体" w:hAnsi="宋体" w:eastAsia="宋体"/>
        </w:rPr>
      </w:pPr>
    </w:p>
    <w:p w14:paraId="1AC4CD02">
      <w:pPr>
        <w:spacing w:line="312" w:lineRule="auto"/>
        <w:rPr>
          <w:rFonts w:ascii="宋体" w:hAnsi="宋体" w:eastAsia="宋体"/>
        </w:rPr>
      </w:pPr>
    </w:p>
    <w:p w14:paraId="7C269E95">
      <w:pPr>
        <w:spacing w:line="312" w:lineRule="auto"/>
        <w:rPr>
          <w:rFonts w:ascii="宋体" w:hAnsi="宋体" w:eastAsia="宋体"/>
        </w:rPr>
      </w:pPr>
    </w:p>
    <w:p w14:paraId="7D4A3826">
      <w:pPr>
        <w:spacing w:line="312" w:lineRule="auto"/>
        <w:rPr>
          <w:rFonts w:ascii="宋体" w:hAnsi="宋体" w:eastAsia="宋体"/>
        </w:rPr>
      </w:pPr>
    </w:p>
    <w:p w14:paraId="3D0A2161">
      <w:pPr>
        <w:spacing w:line="312" w:lineRule="auto"/>
        <w:rPr>
          <w:rFonts w:ascii="宋体" w:hAnsi="宋体" w:eastAsia="宋体"/>
        </w:rPr>
      </w:pPr>
    </w:p>
    <w:p w14:paraId="64EE1AFF">
      <w:pPr>
        <w:spacing w:line="312" w:lineRule="auto"/>
        <w:rPr>
          <w:rFonts w:ascii="宋体" w:hAnsi="宋体" w:eastAsia="宋体"/>
          <w:b/>
          <w:sz w:val="28"/>
          <w:szCs w:val="28"/>
        </w:rPr>
      </w:pPr>
      <w:r>
        <w:rPr>
          <w:rFonts w:hint="eastAsia" w:ascii="宋体" w:hAnsi="宋体" w:eastAsia="宋体"/>
          <w:b/>
          <w:sz w:val="28"/>
          <w:szCs w:val="28"/>
        </w:rPr>
        <w:t>格式7</w:t>
      </w:r>
    </w:p>
    <w:p w14:paraId="490EAECE">
      <w:pPr>
        <w:pStyle w:val="491"/>
        <w:shd w:val="clear" w:color="auto" w:fill="auto"/>
        <w:adjustRightInd w:val="0"/>
        <w:snapToGrid w:val="0"/>
        <w:rPr>
          <w:sz w:val="40"/>
        </w:rPr>
      </w:pPr>
      <w:r>
        <w:rPr>
          <w:color w:val="000000"/>
          <w:sz w:val="28"/>
        </w:rPr>
        <w:t>中小企业声明函</w:t>
      </w:r>
    </w:p>
    <w:p w14:paraId="639D0BFA">
      <w:pPr>
        <w:pStyle w:val="489"/>
        <w:shd w:val="clear" w:color="auto" w:fill="auto"/>
        <w:spacing w:after="160" w:line="600" w:lineRule="auto"/>
        <w:ind w:firstLine="660"/>
        <w:jc w:val="both"/>
        <w:rPr>
          <w:rFonts w:ascii="宋体" w:hAnsi="宋体" w:eastAsia="宋体"/>
          <w:sz w:val="21"/>
          <w:szCs w:val="21"/>
        </w:rPr>
      </w:pPr>
      <w:r>
        <w:rPr>
          <w:rFonts w:ascii="宋体" w:hAnsi="宋体" w:eastAsia="宋体"/>
          <w:color w:val="000000"/>
          <w:sz w:val="21"/>
          <w:szCs w:val="21"/>
        </w:rPr>
        <w:t>本公司（联合体）郑重声明，根据《政府采购促进中小企业发展管理办法》（财库</w:t>
      </w:r>
      <w:r>
        <w:rPr>
          <w:rFonts w:ascii="宋体" w:hAnsi="宋体" w:eastAsia="宋体" w:cs="宋体"/>
          <w:color w:val="000000"/>
          <w:sz w:val="21"/>
          <w:szCs w:val="21"/>
        </w:rPr>
        <w:t>（</w:t>
      </w:r>
      <w:r>
        <w:rPr>
          <w:rFonts w:ascii="宋体" w:hAnsi="宋体" w:eastAsia="宋体" w:cs="Times New Roman"/>
          <w:color w:val="000000"/>
          <w:sz w:val="21"/>
          <w:szCs w:val="21"/>
        </w:rPr>
        <w:t>2020</w:t>
      </w:r>
      <w:r>
        <w:rPr>
          <w:rFonts w:ascii="宋体" w:hAnsi="宋体" w:eastAsia="宋体" w:cs="宋体"/>
          <w:color w:val="000000"/>
          <w:sz w:val="21"/>
          <w:szCs w:val="21"/>
        </w:rPr>
        <w:t>〕</w:t>
      </w:r>
      <w:r>
        <w:rPr>
          <w:rFonts w:ascii="宋体" w:hAnsi="宋体" w:eastAsia="宋体" w:cs="Times New Roman"/>
          <w:color w:val="000000"/>
          <w:sz w:val="21"/>
          <w:szCs w:val="21"/>
        </w:rPr>
        <w:t>46</w:t>
      </w:r>
      <w:r>
        <w:rPr>
          <w:rFonts w:ascii="宋体" w:hAnsi="宋体" w:eastAsia="宋体"/>
          <w:color w:val="000000"/>
          <w:sz w:val="21"/>
          <w:szCs w:val="21"/>
        </w:rPr>
        <w:t>号）的规定，本公司（联合体）参加</w:t>
      </w:r>
      <w:r>
        <w:rPr>
          <w:rFonts w:ascii="宋体" w:hAnsi="宋体" w:eastAsia="宋体"/>
          <w:iCs/>
          <w:color w:val="000000"/>
          <w:sz w:val="21"/>
          <w:szCs w:val="21"/>
          <w:u w:val="single"/>
        </w:rPr>
        <w:t>（单位名称）</w:t>
      </w:r>
      <w:r>
        <w:rPr>
          <w:rFonts w:ascii="宋体" w:hAnsi="宋体" w:eastAsia="宋体"/>
          <w:color w:val="000000"/>
          <w:sz w:val="21"/>
          <w:szCs w:val="21"/>
        </w:rPr>
        <w:t>的</w:t>
      </w:r>
      <w:r>
        <w:rPr>
          <w:rFonts w:ascii="宋体" w:hAnsi="宋体" w:eastAsia="宋体"/>
          <w:iCs/>
          <w:color w:val="000000"/>
          <w:sz w:val="21"/>
          <w:szCs w:val="21"/>
          <w:u w:val="single"/>
        </w:rPr>
        <w:t>（项目名称）</w:t>
      </w:r>
      <w:r>
        <w:rPr>
          <w:rFonts w:ascii="宋体" w:hAnsi="宋体" w:eastAsia="宋体"/>
          <w:color w:val="000000"/>
          <w:sz w:val="21"/>
          <w:szCs w:val="21"/>
        </w:rPr>
        <w:t>采购活动,</w:t>
      </w:r>
      <w:r>
        <w:rPr>
          <w:rFonts w:hint="eastAsia" w:ascii="宋体" w:hAnsi="宋体" w:eastAsia="宋体"/>
          <w:color w:val="000000"/>
          <w:sz w:val="21"/>
          <w:szCs w:val="21"/>
        </w:rPr>
        <w:t>供应商</w:t>
      </w:r>
      <w:r>
        <w:rPr>
          <w:rFonts w:ascii="宋体" w:hAnsi="宋体" w:eastAsia="宋体"/>
          <w:color w:val="000000"/>
          <w:sz w:val="21"/>
          <w:szCs w:val="21"/>
        </w:rPr>
        <w:t>全部为符合政策要求的中小企业（或者：服务全部由符合政策要求的中小企业承接）。相关企业（含联合体中的中小企业、签订分包意向协议的中小企业）的具体情 况如下：</w:t>
      </w:r>
    </w:p>
    <w:p w14:paraId="65A76325">
      <w:pPr>
        <w:pStyle w:val="489"/>
        <w:shd w:val="clear" w:color="auto" w:fill="auto"/>
        <w:tabs>
          <w:tab w:val="left" w:pos="1226"/>
        </w:tabs>
        <w:spacing w:line="600" w:lineRule="auto"/>
        <w:ind w:firstLine="630" w:firstLineChars="300"/>
        <w:rPr>
          <w:rFonts w:ascii="宋体" w:hAnsi="宋体" w:eastAsia="宋体"/>
          <w:sz w:val="21"/>
          <w:szCs w:val="21"/>
        </w:rPr>
      </w:pPr>
      <w:r>
        <w:rPr>
          <w:rFonts w:hint="eastAsia" w:ascii="宋体" w:hAnsi="宋体" w:eastAsia="宋体"/>
          <w:iCs/>
          <w:color w:val="000000"/>
          <w:sz w:val="21"/>
          <w:szCs w:val="21"/>
        </w:rPr>
        <w:t>1、</w:t>
      </w:r>
      <w:r>
        <w:rPr>
          <w:rFonts w:ascii="宋体" w:hAnsi="宋体" w:eastAsia="宋体"/>
          <w:iCs/>
          <w:color w:val="000000"/>
          <w:sz w:val="21"/>
          <w:szCs w:val="21"/>
          <w:u w:val="single"/>
        </w:rPr>
        <w:t>（标的名称）</w:t>
      </w:r>
      <w:r>
        <w:rPr>
          <w:rFonts w:ascii="宋体" w:hAnsi="宋体" w:eastAsia="宋体" w:cs="Times New Roman"/>
          <w:color w:val="000000"/>
          <w:sz w:val="21"/>
          <w:szCs w:val="21"/>
        </w:rPr>
        <w:t>,</w:t>
      </w:r>
      <w:r>
        <w:rPr>
          <w:rFonts w:ascii="宋体" w:hAnsi="宋体" w:eastAsia="宋体"/>
          <w:color w:val="000000"/>
          <w:sz w:val="21"/>
          <w:szCs w:val="21"/>
        </w:rPr>
        <w:t>属于</w:t>
      </w:r>
      <w:r>
        <w:rPr>
          <w:rFonts w:ascii="宋体" w:hAnsi="宋体" w:eastAsia="宋体"/>
          <w:iCs/>
          <w:color w:val="000000"/>
          <w:sz w:val="21"/>
          <w:szCs w:val="21"/>
          <w:u w:val="single"/>
        </w:rPr>
        <w:t>（</w:t>
      </w:r>
      <w:r>
        <w:rPr>
          <w:rFonts w:hint="eastAsia" w:ascii="宋体" w:hAnsi="宋体" w:eastAsia="宋体"/>
          <w:iCs/>
          <w:color w:val="000000"/>
          <w:sz w:val="21"/>
          <w:szCs w:val="21"/>
          <w:u w:val="single"/>
          <w:lang w:eastAsia="zh-CN"/>
        </w:rPr>
        <w:t>批发业</w:t>
      </w:r>
      <w:r>
        <w:rPr>
          <w:rFonts w:ascii="宋体" w:hAnsi="宋体" w:eastAsia="宋体"/>
          <w:iCs/>
          <w:color w:val="000000"/>
          <w:sz w:val="21"/>
          <w:szCs w:val="21"/>
          <w:u w:val="single"/>
        </w:rPr>
        <w:t>）</w:t>
      </w:r>
      <w:r>
        <w:rPr>
          <w:rFonts w:ascii="宋体" w:hAnsi="宋体" w:eastAsia="宋体"/>
          <w:iCs/>
          <w:color w:val="000000"/>
          <w:sz w:val="21"/>
          <w:szCs w:val="21"/>
        </w:rPr>
        <w:t>;</w:t>
      </w:r>
      <w:r>
        <w:rPr>
          <w:rFonts w:ascii="宋体" w:hAnsi="宋体" w:eastAsia="宋体"/>
          <w:color w:val="000000"/>
          <w:sz w:val="21"/>
          <w:szCs w:val="21"/>
        </w:rPr>
        <w:t>承建（承接）企业为</w:t>
      </w:r>
      <w:r>
        <w:rPr>
          <w:rFonts w:ascii="宋体" w:hAnsi="宋体" w:eastAsia="宋体"/>
          <w:iCs/>
          <w:color w:val="000000"/>
          <w:sz w:val="21"/>
          <w:szCs w:val="21"/>
          <w:u w:val="single"/>
        </w:rPr>
        <w:t>（企业名称）</w:t>
      </w:r>
      <w:r>
        <w:rPr>
          <w:rFonts w:ascii="宋体" w:hAnsi="宋体" w:eastAsia="宋体"/>
          <w:iCs/>
          <w:color w:val="000000"/>
          <w:sz w:val="21"/>
          <w:szCs w:val="21"/>
        </w:rPr>
        <w:t>,</w:t>
      </w:r>
      <w:r>
        <w:rPr>
          <w:rFonts w:ascii="宋体" w:hAnsi="宋体" w:eastAsia="宋体"/>
          <w:color w:val="000000"/>
          <w:sz w:val="21"/>
          <w:szCs w:val="21"/>
        </w:rPr>
        <w:t>从业人员</w:t>
      </w:r>
      <w:r>
        <w:rPr>
          <w:rFonts w:ascii="宋体" w:hAnsi="宋体" w:eastAsia="宋体"/>
          <w:color w:val="000000"/>
          <w:sz w:val="21"/>
          <w:szCs w:val="21"/>
          <w:u w:val="single"/>
        </w:rPr>
        <w:tab/>
      </w:r>
      <w:r>
        <w:rPr>
          <w:rFonts w:ascii="宋体" w:hAnsi="宋体" w:eastAsia="宋体"/>
          <w:color w:val="000000"/>
          <w:sz w:val="21"/>
          <w:szCs w:val="21"/>
        </w:rPr>
        <w:t>人，营业收入为</w:t>
      </w:r>
      <w:r>
        <w:rPr>
          <w:rFonts w:hint="eastAsia" w:ascii="宋体" w:hAnsi="宋体" w:eastAsia="宋体"/>
          <w:color w:val="000000"/>
          <w:sz w:val="21"/>
          <w:szCs w:val="21"/>
          <w:u w:val="single"/>
        </w:rPr>
        <w:t xml:space="preserve">    </w:t>
      </w:r>
      <w:r>
        <w:rPr>
          <w:rFonts w:ascii="宋体" w:hAnsi="宋体" w:eastAsia="宋体"/>
          <w:color w:val="000000"/>
          <w:sz w:val="21"/>
          <w:szCs w:val="21"/>
        </w:rPr>
        <w:t>万元，资产总额为</w:t>
      </w:r>
      <w:r>
        <w:rPr>
          <w:rFonts w:hint="eastAsia" w:ascii="宋体" w:hAnsi="宋体" w:eastAsia="宋体"/>
          <w:color w:val="000000"/>
          <w:sz w:val="21"/>
          <w:szCs w:val="21"/>
          <w:u w:val="single"/>
        </w:rPr>
        <w:t xml:space="preserve">    </w:t>
      </w:r>
      <w:r>
        <w:rPr>
          <w:rFonts w:ascii="宋体" w:hAnsi="宋体" w:eastAsia="宋体"/>
          <w:color w:val="000000"/>
          <w:sz w:val="21"/>
          <w:szCs w:val="21"/>
        </w:rPr>
        <w:t>万元</w:t>
      </w:r>
      <w:r>
        <w:fldChar w:fldCharType="begin"/>
      </w:r>
      <w:r>
        <w:instrText xml:space="preserve"> HYPERLINK \l "bookmark5" \o "Current Document" \h </w:instrText>
      </w:r>
      <w:r>
        <w:fldChar w:fldCharType="separate"/>
      </w:r>
      <w:r>
        <w:rPr>
          <w:rFonts w:hint="eastAsia" w:ascii="宋体" w:hAnsi="宋体" w:eastAsia="宋体"/>
          <w:color w:val="000000"/>
          <w:sz w:val="21"/>
          <w:szCs w:val="21"/>
        </w:rPr>
        <w:t>，</w:t>
      </w:r>
      <w:r>
        <w:rPr>
          <w:rFonts w:hint="eastAsia" w:ascii="宋体" w:hAnsi="宋体" w:eastAsia="宋体"/>
          <w:color w:val="000000"/>
          <w:sz w:val="21"/>
          <w:szCs w:val="21"/>
        </w:rPr>
        <w:fldChar w:fldCharType="end"/>
      </w:r>
      <w:r>
        <w:rPr>
          <w:rFonts w:ascii="宋体" w:hAnsi="宋体" w:eastAsia="宋体"/>
          <w:color w:val="000000"/>
          <w:sz w:val="21"/>
          <w:szCs w:val="21"/>
        </w:rPr>
        <w:t>属于</w:t>
      </w:r>
      <w:r>
        <w:rPr>
          <w:rFonts w:ascii="宋体" w:hAnsi="宋体" w:eastAsia="宋体"/>
          <w:iCs/>
          <w:color w:val="000000"/>
          <w:sz w:val="21"/>
          <w:szCs w:val="21"/>
          <w:u w:val="single"/>
        </w:rPr>
        <w:t>（中型企业、 小型企业、微型企业）</w:t>
      </w:r>
      <w:r>
        <w:rPr>
          <w:rFonts w:ascii="宋体" w:hAnsi="宋体" w:eastAsia="宋体"/>
          <w:iCs/>
          <w:color w:val="000000"/>
          <w:sz w:val="21"/>
          <w:szCs w:val="21"/>
        </w:rPr>
        <w:t>;</w:t>
      </w:r>
    </w:p>
    <w:p w14:paraId="20354DDE">
      <w:pPr>
        <w:pStyle w:val="489"/>
        <w:shd w:val="clear" w:color="auto" w:fill="auto"/>
        <w:tabs>
          <w:tab w:val="left" w:pos="1226"/>
        </w:tabs>
        <w:spacing w:line="600" w:lineRule="auto"/>
        <w:ind w:left="640" w:firstLine="0"/>
        <w:rPr>
          <w:rFonts w:ascii="宋体" w:hAnsi="宋体" w:eastAsia="宋体"/>
          <w:color w:val="000000"/>
          <w:sz w:val="21"/>
          <w:szCs w:val="21"/>
        </w:rPr>
      </w:pPr>
      <w:r>
        <w:rPr>
          <w:rFonts w:hint="eastAsia" w:ascii="宋体" w:hAnsi="宋体" w:eastAsia="宋体"/>
          <w:iCs/>
          <w:color w:val="000000"/>
          <w:sz w:val="21"/>
          <w:szCs w:val="21"/>
        </w:rPr>
        <w:t>2、</w:t>
      </w:r>
      <w:r>
        <w:rPr>
          <w:rFonts w:ascii="宋体" w:hAnsi="宋体" w:eastAsia="宋体"/>
          <w:iCs/>
          <w:color w:val="000000"/>
          <w:sz w:val="21"/>
          <w:szCs w:val="21"/>
          <w:u w:val="single"/>
        </w:rPr>
        <w:t>（标的名称）</w:t>
      </w:r>
      <w:r>
        <w:rPr>
          <w:rFonts w:ascii="宋体" w:hAnsi="宋体" w:eastAsia="宋体" w:cs="Times New Roman"/>
          <w:color w:val="000000"/>
          <w:sz w:val="21"/>
          <w:szCs w:val="21"/>
        </w:rPr>
        <w:t>,</w:t>
      </w:r>
      <w:r>
        <w:rPr>
          <w:rFonts w:ascii="宋体" w:hAnsi="宋体" w:eastAsia="宋体"/>
          <w:color w:val="000000"/>
          <w:sz w:val="21"/>
          <w:szCs w:val="21"/>
        </w:rPr>
        <w:t>属于</w:t>
      </w:r>
      <w:r>
        <w:rPr>
          <w:rFonts w:ascii="宋体" w:hAnsi="宋体" w:eastAsia="宋体"/>
          <w:iCs/>
          <w:color w:val="000000"/>
          <w:sz w:val="21"/>
          <w:szCs w:val="21"/>
          <w:u w:val="single"/>
        </w:rPr>
        <w:t>（</w:t>
      </w:r>
      <w:r>
        <w:rPr>
          <w:rFonts w:hint="eastAsia" w:ascii="宋体" w:hAnsi="宋体" w:eastAsia="宋体"/>
          <w:iCs/>
          <w:color w:val="000000"/>
          <w:sz w:val="21"/>
          <w:szCs w:val="21"/>
          <w:u w:val="single"/>
          <w:lang w:eastAsia="zh-CN"/>
        </w:rPr>
        <w:t>批发业</w:t>
      </w:r>
      <w:r>
        <w:rPr>
          <w:rFonts w:ascii="宋体" w:hAnsi="宋体" w:eastAsia="宋体"/>
          <w:iCs/>
          <w:color w:val="000000"/>
          <w:sz w:val="21"/>
          <w:szCs w:val="21"/>
          <w:u w:val="single"/>
        </w:rPr>
        <w:t>）</w:t>
      </w:r>
      <w:r>
        <w:rPr>
          <w:rFonts w:hint="eastAsia" w:ascii="宋体" w:hAnsi="宋体" w:eastAsia="宋体"/>
          <w:iCs/>
          <w:color w:val="000000"/>
          <w:sz w:val="21"/>
          <w:szCs w:val="21"/>
        </w:rPr>
        <w:t>；</w:t>
      </w:r>
      <w:r>
        <w:rPr>
          <w:rFonts w:ascii="宋体" w:hAnsi="宋体" w:eastAsia="宋体"/>
          <w:color w:val="000000"/>
          <w:sz w:val="21"/>
          <w:szCs w:val="21"/>
        </w:rPr>
        <w:t>承建（承接）企业为</w:t>
      </w:r>
      <w:r>
        <w:rPr>
          <w:rFonts w:ascii="宋体" w:hAnsi="宋体" w:eastAsia="宋体"/>
          <w:iCs/>
          <w:color w:val="000000"/>
          <w:sz w:val="21"/>
          <w:szCs w:val="21"/>
          <w:u w:val="single"/>
        </w:rPr>
        <w:t>（企业名称）</w:t>
      </w:r>
      <w:r>
        <w:rPr>
          <w:rFonts w:ascii="宋体" w:hAnsi="宋体" w:eastAsia="宋体"/>
          <w:iCs/>
          <w:color w:val="000000"/>
          <w:sz w:val="21"/>
          <w:szCs w:val="21"/>
        </w:rPr>
        <w:t>,</w:t>
      </w:r>
      <w:r>
        <w:rPr>
          <w:rFonts w:ascii="宋体" w:hAnsi="宋体" w:eastAsia="宋体"/>
          <w:color w:val="000000"/>
          <w:sz w:val="21"/>
          <w:szCs w:val="21"/>
        </w:rPr>
        <w:t>从业人员</w:t>
      </w:r>
      <w:r>
        <w:rPr>
          <w:rFonts w:ascii="宋体" w:hAnsi="宋体" w:eastAsia="宋体"/>
          <w:color w:val="000000"/>
          <w:sz w:val="21"/>
          <w:szCs w:val="21"/>
          <w:u w:val="single"/>
        </w:rPr>
        <w:tab/>
      </w:r>
      <w:r>
        <w:rPr>
          <w:rFonts w:ascii="宋体" w:hAnsi="宋体" w:eastAsia="宋体"/>
          <w:color w:val="000000"/>
          <w:sz w:val="21"/>
          <w:szCs w:val="21"/>
        </w:rPr>
        <w:t>人，</w:t>
      </w:r>
    </w:p>
    <w:p w14:paraId="1AEC09A1">
      <w:pPr>
        <w:pStyle w:val="489"/>
        <w:shd w:val="clear" w:color="auto" w:fill="auto"/>
        <w:tabs>
          <w:tab w:val="left" w:pos="1226"/>
        </w:tabs>
        <w:spacing w:line="600" w:lineRule="auto"/>
        <w:ind w:firstLine="0"/>
        <w:rPr>
          <w:rFonts w:ascii="宋体" w:hAnsi="宋体" w:eastAsia="宋体"/>
          <w:color w:val="000000"/>
          <w:sz w:val="21"/>
          <w:szCs w:val="21"/>
        </w:rPr>
      </w:pPr>
      <w:r>
        <w:rPr>
          <w:rFonts w:ascii="宋体" w:hAnsi="宋体" w:eastAsia="宋体"/>
          <w:color w:val="000000"/>
          <w:sz w:val="21"/>
          <w:szCs w:val="21"/>
        </w:rPr>
        <w:t>营业收入为</w:t>
      </w:r>
      <w:r>
        <w:rPr>
          <w:rFonts w:hint="eastAsia" w:ascii="宋体" w:hAnsi="宋体" w:eastAsia="宋体"/>
          <w:color w:val="000000"/>
          <w:sz w:val="21"/>
          <w:szCs w:val="21"/>
          <w:u w:val="single"/>
        </w:rPr>
        <w:t xml:space="preserve">   </w:t>
      </w:r>
      <w:r>
        <w:rPr>
          <w:rFonts w:ascii="宋体" w:hAnsi="宋体" w:eastAsia="宋体"/>
          <w:color w:val="000000"/>
          <w:sz w:val="21"/>
          <w:szCs w:val="21"/>
        </w:rPr>
        <w:t>万元，资产总额为</w:t>
      </w:r>
      <w:r>
        <w:rPr>
          <w:rFonts w:hint="eastAsia" w:ascii="宋体" w:hAnsi="宋体" w:eastAsia="宋体"/>
          <w:color w:val="000000"/>
          <w:sz w:val="21"/>
          <w:szCs w:val="21"/>
          <w:u w:val="single"/>
        </w:rPr>
        <w:t xml:space="preserve">    </w:t>
      </w:r>
      <w:r>
        <w:rPr>
          <w:rFonts w:ascii="宋体" w:hAnsi="宋体" w:eastAsia="宋体"/>
          <w:color w:val="000000"/>
          <w:sz w:val="21"/>
          <w:szCs w:val="21"/>
        </w:rPr>
        <w:t>万元，属于</w:t>
      </w:r>
      <w:r>
        <w:rPr>
          <w:rFonts w:ascii="宋体" w:hAnsi="宋体" w:eastAsia="宋体"/>
          <w:iCs/>
          <w:color w:val="000000"/>
          <w:sz w:val="21"/>
          <w:szCs w:val="21"/>
          <w:u w:val="single"/>
        </w:rPr>
        <w:t>（中型企业、 小型企业、微型企业）</w:t>
      </w:r>
      <w:r>
        <w:rPr>
          <w:rFonts w:hint="eastAsia" w:ascii="宋体" w:hAnsi="宋体" w:eastAsia="宋体"/>
          <w:iCs/>
          <w:color w:val="000000"/>
          <w:sz w:val="21"/>
          <w:szCs w:val="21"/>
        </w:rPr>
        <w:t>；</w:t>
      </w:r>
    </w:p>
    <w:p w14:paraId="725E5FB3">
      <w:pPr>
        <w:pStyle w:val="489"/>
        <w:shd w:val="clear" w:color="auto" w:fill="auto"/>
        <w:spacing w:line="600" w:lineRule="auto"/>
        <w:ind w:firstLine="660"/>
        <w:rPr>
          <w:rFonts w:ascii="宋体" w:hAnsi="宋体" w:eastAsia="宋体"/>
          <w:sz w:val="21"/>
          <w:szCs w:val="21"/>
        </w:rPr>
      </w:pPr>
      <w:r>
        <w:rPr>
          <w:rFonts w:ascii="宋体" w:hAnsi="宋体" w:eastAsia="宋体"/>
          <w:color w:val="000000"/>
          <w:sz w:val="21"/>
          <w:szCs w:val="21"/>
        </w:rPr>
        <w:t>以上企业，不属于大企业的分支机构，不存在控股股东为大企业的情形，也不存在与大企业的负责人为同一人的情形。</w:t>
      </w:r>
    </w:p>
    <w:p w14:paraId="47F2A014">
      <w:pPr>
        <w:pStyle w:val="489"/>
        <w:shd w:val="clear" w:color="auto" w:fill="auto"/>
        <w:spacing w:line="600" w:lineRule="auto"/>
        <w:ind w:firstLine="660"/>
        <w:rPr>
          <w:rFonts w:ascii="宋体" w:hAnsi="宋体" w:eastAsia="宋体"/>
          <w:sz w:val="21"/>
          <w:szCs w:val="21"/>
        </w:rPr>
      </w:pPr>
      <w:r>
        <w:rPr>
          <w:rFonts w:ascii="宋体" w:hAnsi="宋体" w:eastAsia="宋体"/>
          <w:color w:val="000000"/>
          <w:sz w:val="21"/>
          <w:szCs w:val="21"/>
        </w:rPr>
        <w:t>本企业对上述声明内容的真实性负责。如有虚假，将依 法承担相应责任。</w:t>
      </w:r>
    </w:p>
    <w:p w14:paraId="57B4960E">
      <w:pPr>
        <w:pStyle w:val="489"/>
        <w:shd w:val="clear" w:color="auto" w:fill="auto"/>
        <w:spacing w:line="600" w:lineRule="auto"/>
        <w:ind w:left="3860" w:firstLine="0"/>
        <w:rPr>
          <w:rFonts w:ascii="宋体" w:hAnsi="宋体" w:eastAsia="宋体"/>
          <w:sz w:val="21"/>
          <w:szCs w:val="21"/>
        </w:rPr>
      </w:pPr>
      <w:r>
        <w:rPr>
          <w:rFonts w:ascii="宋体" w:hAnsi="宋体" w:eastAsia="宋体"/>
          <w:color w:val="000000"/>
          <w:sz w:val="21"/>
          <w:szCs w:val="21"/>
        </w:rPr>
        <w:t>企业名称（盖章）：</w:t>
      </w:r>
    </w:p>
    <w:p w14:paraId="36338BE5">
      <w:pPr>
        <w:pStyle w:val="489"/>
        <w:shd w:val="clear" w:color="auto" w:fill="auto"/>
        <w:spacing w:after="700" w:line="600" w:lineRule="auto"/>
        <w:ind w:firstLine="0"/>
        <w:jc w:val="center"/>
        <w:rPr>
          <w:rFonts w:ascii="宋体" w:hAnsi="宋体" w:eastAsia="宋体"/>
        </w:rPr>
      </w:pPr>
      <w:r>
        <w:rPr>
          <w:rFonts w:ascii="宋体" w:hAnsi="宋体" w:eastAsia="宋体"/>
          <w:color w:val="000000"/>
          <w:sz w:val="21"/>
          <w:szCs w:val="21"/>
        </w:rPr>
        <w:t>日 期：</w:t>
      </w:r>
    </w:p>
    <w:p w14:paraId="570D6B48">
      <w:pPr>
        <w:spacing w:line="600" w:lineRule="auto"/>
        <w:rPr>
          <w:rFonts w:ascii="宋体" w:hAnsi="宋体" w:eastAsia="宋体"/>
        </w:rPr>
      </w:pPr>
      <w:bookmarkStart w:id="13" w:name="bookmark5"/>
      <w:r>
        <w:rPr>
          <w:rFonts w:ascii="宋体" w:hAnsi="宋体" w:eastAsia="宋体"/>
          <w:color w:val="000000"/>
        </w:rPr>
        <w:t>从业人员、营业收入、资产总额填报上一年度数据，无上一年度数据的新成立企业可不填报。</w:t>
      </w:r>
      <w:bookmarkEnd w:id="13"/>
    </w:p>
    <w:p w14:paraId="6CF59E08">
      <w:pPr>
        <w:spacing w:line="312" w:lineRule="auto"/>
        <w:rPr>
          <w:rFonts w:ascii="宋体" w:hAnsi="宋体" w:eastAsia="宋体"/>
          <w:b/>
        </w:rPr>
      </w:pPr>
    </w:p>
    <w:p w14:paraId="2E5D5F0F">
      <w:pPr>
        <w:spacing w:line="312" w:lineRule="auto"/>
        <w:rPr>
          <w:rFonts w:ascii="宋体" w:hAnsi="宋体" w:eastAsia="宋体"/>
          <w:b/>
        </w:rPr>
      </w:pPr>
    </w:p>
    <w:p w14:paraId="4962CDA1">
      <w:pPr>
        <w:spacing w:line="312" w:lineRule="auto"/>
        <w:rPr>
          <w:rFonts w:ascii="宋体" w:hAnsi="宋体" w:eastAsia="宋体"/>
          <w:b/>
          <w:sz w:val="28"/>
        </w:rPr>
      </w:pPr>
      <w:r>
        <w:rPr>
          <w:rFonts w:hint="eastAsia" w:ascii="宋体" w:hAnsi="宋体" w:eastAsia="宋体"/>
          <w:b/>
          <w:sz w:val="28"/>
        </w:rPr>
        <w:t>格式8</w:t>
      </w:r>
    </w:p>
    <w:p w14:paraId="28D35717">
      <w:pPr>
        <w:spacing w:line="312" w:lineRule="auto"/>
        <w:jc w:val="center"/>
        <w:rPr>
          <w:rFonts w:ascii="宋体" w:hAnsi="宋体" w:eastAsia="宋体"/>
          <w:b/>
          <w:sz w:val="32"/>
        </w:rPr>
      </w:pPr>
      <w:r>
        <w:rPr>
          <w:rFonts w:hint="eastAsia" w:ascii="宋体" w:hAnsi="宋体" w:eastAsia="宋体"/>
          <w:b/>
          <w:sz w:val="32"/>
        </w:rPr>
        <w:t>技术部分条款</w:t>
      </w:r>
    </w:p>
    <w:p w14:paraId="1A8DE74C">
      <w:pPr>
        <w:spacing w:line="312" w:lineRule="auto"/>
        <w:rPr>
          <w:rFonts w:ascii="宋体" w:hAnsi="宋体" w:eastAsia="宋体"/>
        </w:rPr>
      </w:pPr>
    </w:p>
    <w:p w14:paraId="442D6E41">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主要内容应包括但不限于以下内容（格式自定）：</w:t>
      </w:r>
    </w:p>
    <w:p w14:paraId="67EAEAF3">
      <w:pPr>
        <w:numPr>
          <w:ilvl w:val="3"/>
          <w:numId w:val="3"/>
        </w:numPr>
        <w:tabs>
          <w:tab w:val="left" w:pos="630"/>
          <w:tab w:val="left" w:pos="993"/>
          <w:tab w:val="clear" w:pos="1680"/>
        </w:tabs>
        <w:adjustRightInd w:val="0"/>
        <w:snapToGrid w:val="0"/>
        <w:spacing w:line="360" w:lineRule="auto"/>
        <w:ind w:left="993" w:right="279" w:rightChars="133" w:hanging="56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根据用户需求/技术部分评分表的内容要求提供相应的服务方案；</w:t>
      </w:r>
    </w:p>
    <w:p w14:paraId="0936BED1">
      <w:pPr>
        <w:numPr>
          <w:ilvl w:val="3"/>
          <w:numId w:val="3"/>
        </w:numPr>
        <w:tabs>
          <w:tab w:val="left" w:pos="630"/>
          <w:tab w:val="left" w:pos="993"/>
          <w:tab w:val="clear" w:pos="1680"/>
        </w:tabs>
        <w:adjustRightInd w:val="0"/>
        <w:snapToGrid w:val="0"/>
        <w:spacing w:line="360" w:lineRule="auto"/>
        <w:ind w:left="993" w:right="279" w:rightChars="133" w:hanging="567"/>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服务实施方案</w:t>
      </w:r>
      <w:r>
        <w:rPr>
          <w:rFonts w:ascii="宋体" w:hAnsi="宋体" w:eastAsia="宋体"/>
          <w:color w:val="000000" w:themeColor="text1"/>
          <w14:textFill>
            <w14:solidFill>
              <w14:schemeClr w14:val="tx1"/>
            </w14:solidFill>
          </w14:textFill>
        </w:rPr>
        <w:t>；</w:t>
      </w:r>
    </w:p>
    <w:p w14:paraId="1E93DEDB">
      <w:pPr>
        <w:numPr>
          <w:ilvl w:val="3"/>
          <w:numId w:val="3"/>
        </w:numPr>
        <w:tabs>
          <w:tab w:val="left" w:pos="630"/>
          <w:tab w:val="left" w:pos="993"/>
          <w:tab w:val="clear" w:pos="1680"/>
        </w:tabs>
        <w:adjustRightInd w:val="0"/>
        <w:snapToGrid w:val="0"/>
        <w:spacing w:line="360" w:lineRule="auto"/>
        <w:ind w:left="993" w:right="279" w:rightChars="133" w:hanging="567"/>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货物质量保证措施</w:t>
      </w:r>
    </w:p>
    <w:p w14:paraId="745A86DA">
      <w:pPr>
        <w:numPr>
          <w:ilvl w:val="3"/>
          <w:numId w:val="3"/>
        </w:numPr>
        <w:tabs>
          <w:tab w:val="left" w:pos="630"/>
          <w:tab w:val="left" w:pos="993"/>
          <w:tab w:val="clear" w:pos="1680"/>
        </w:tabs>
        <w:adjustRightInd w:val="0"/>
        <w:snapToGrid w:val="0"/>
        <w:spacing w:line="360" w:lineRule="auto"/>
        <w:ind w:left="993" w:right="279" w:rightChars="133" w:hanging="567"/>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售后服务承诺</w:t>
      </w:r>
    </w:p>
    <w:p w14:paraId="30275B29">
      <w:pPr>
        <w:numPr>
          <w:ilvl w:val="3"/>
          <w:numId w:val="3"/>
        </w:numPr>
        <w:tabs>
          <w:tab w:val="left" w:pos="630"/>
          <w:tab w:val="left" w:pos="993"/>
          <w:tab w:val="clear" w:pos="1680"/>
        </w:tabs>
        <w:adjustRightInd w:val="0"/>
        <w:snapToGrid w:val="0"/>
        <w:spacing w:line="360" w:lineRule="auto"/>
        <w:ind w:left="993" w:right="279" w:rightChars="133" w:hanging="567"/>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特殊情况应急处理预案</w:t>
      </w:r>
    </w:p>
    <w:p w14:paraId="055DBEB2">
      <w:pPr>
        <w:numPr>
          <w:ilvl w:val="3"/>
          <w:numId w:val="3"/>
        </w:numPr>
        <w:tabs>
          <w:tab w:val="left" w:pos="630"/>
          <w:tab w:val="left" w:pos="993"/>
          <w:tab w:val="clear" w:pos="1680"/>
        </w:tabs>
        <w:adjustRightInd w:val="0"/>
        <w:snapToGrid w:val="0"/>
        <w:spacing w:line="360" w:lineRule="auto"/>
        <w:ind w:left="993" w:right="279" w:rightChars="133" w:hanging="567"/>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供应商认为对投标有利的其他资料。</w:t>
      </w:r>
    </w:p>
    <w:p w14:paraId="145AB3CB">
      <w:pPr>
        <w:spacing w:line="312" w:lineRule="auto"/>
        <w:ind w:firstLine="420" w:firstLineChars="200"/>
        <w:rPr>
          <w:rFonts w:ascii="宋体" w:hAnsi="宋体" w:eastAsia="宋体"/>
        </w:rPr>
      </w:pPr>
    </w:p>
    <w:p w14:paraId="0C4BB8CD">
      <w:pPr>
        <w:spacing w:line="312" w:lineRule="auto"/>
        <w:ind w:firstLine="420" w:firstLineChars="200"/>
        <w:rPr>
          <w:rFonts w:ascii="宋体" w:hAnsi="宋体" w:eastAsia="宋体"/>
        </w:rPr>
      </w:pPr>
    </w:p>
    <w:p w14:paraId="1AA8EE87">
      <w:pPr>
        <w:spacing w:line="312" w:lineRule="auto"/>
        <w:ind w:firstLine="420" w:firstLineChars="200"/>
        <w:rPr>
          <w:rFonts w:ascii="宋体" w:hAnsi="宋体" w:eastAsia="宋体"/>
        </w:rPr>
      </w:pPr>
    </w:p>
    <w:p w14:paraId="3D2440FA">
      <w:pPr>
        <w:spacing w:line="312" w:lineRule="auto"/>
        <w:ind w:firstLine="420" w:firstLineChars="200"/>
        <w:rPr>
          <w:rFonts w:ascii="宋体" w:hAnsi="宋体" w:eastAsia="宋体"/>
        </w:rPr>
      </w:pPr>
    </w:p>
    <w:p w14:paraId="2342C104">
      <w:pPr>
        <w:spacing w:line="312" w:lineRule="auto"/>
        <w:rPr>
          <w:rFonts w:ascii="宋体" w:hAnsi="宋体" w:eastAsia="宋体"/>
        </w:rPr>
      </w:pPr>
    </w:p>
    <w:p w14:paraId="01B89DC9">
      <w:pPr>
        <w:spacing w:line="312" w:lineRule="auto"/>
        <w:rPr>
          <w:rFonts w:ascii="宋体" w:hAnsi="宋体" w:eastAsia="宋体"/>
        </w:rPr>
      </w:pPr>
    </w:p>
    <w:p w14:paraId="21807C45">
      <w:pPr>
        <w:spacing w:line="312" w:lineRule="auto"/>
        <w:rPr>
          <w:rFonts w:ascii="宋体" w:hAnsi="宋体" w:eastAsia="宋体"/>
        </w:rPr>
      </w:pPr>
    </w:p>
    <w:p w14:paraId="61442298">
      <w:pPr>
        <w:spacing w:line="312" w:lineRule="auto"/>
        <w:rPr>
          <w:rFonts w:ascii="宋体" w:hAnsi="宋体" w:eastAsia="宋体"/>
          <w:u w:val="single"/>
        </w:rPr>
      </w:pPr>
      <w:r>
        <w:rPr>
          <w:rFonts w:hint="eastAsia" w:ascii="宋体" w:hAnsi="宋体" w:eastAsia="宋体"/>
        </w:rPr>
        <w:t>响应供应商名称（盖公章）：</w:t>
      </w:r>
      <w:r>
        <w:rPr>
          <w:rFonts w:hint="eastAsia" w:ascii="宋体" w:hAnsi="宋体" w:eastAsia="宋体"/>
          <w:u w:val="single"/>
        </w:rPr>
        <w:t xml:space="preserve">                   </w:t>
      </w:r>
    </w:p>
    <w:p w14:paraId="0C8214C3">
      <w:pPr>
        <w:spacing w:line="312" w:lineRule="auto"/>
        <w:rPr>
          <w:rFonts w:ascii="宋体" w:hAnsi="宋体" w:eastAsia="宋体"/>
          <w:u w:val="single"/>
        </w:rPr>
      </w:pPr>
      <w:r>
        <w:rPr>
          <w:rFonts w:hint="eastAsia" w:ascii="宋体" w:hAnsi="宋体" w:eastAsia="宋体"/>
        </w:rPr>
        <w:t>法定代表人或响应供应商授权代表（签名或盖章）：</w:t>
      </w:r>
      <w:r>
        <w:rPr>
          <w:rFonts w:hint="eastAsia" w:ascii="宋体" w:hAnsi="宋体" w:eastAsia="宋体"/>
          <w:u w:val="single"/>
        </w:rPr>
        <w:t xml:space="preserve">             </w:t>
      </w:r>
    </w:p>
    <w:p w14:paraId="3B9C7F71">
      <w:pPr>
        <w:spacing w:line="312" w:lineRule="auto"/>
        <w:rPr>
          <w:rFonts w:ascii="宋体" w:hAnsi="宋体" w:eastAsia="宋体"/>
          <w:u w:val="single"/>
        </w:rPr>
      </w:pPr>
      <w:r>
        <w:rPr>
          <w:rFonts w:hint="eastAsia" w:ascii="宋体" w:hAnsi="宋体" w:eastAsia="宋体"/>
        </w:rPr>
        <w:t>日   期：</w:t>
      </w:r>
      <w:r>
        <w:rPr>
          <w:rFonts w:hint="eastAsia" w:ascii="宋体" w:hAnsi="宋体" w:eastAsia="宋体"/>
          <w:u w:val="single"/>
        </w:rPr>
        <w:t xml:space="preserve">         </w:t>
      </w:r>
    </w:p>
    <w:p w14:paraId="1E1F601A">
      <w:pPr>
        <w:spacing w:line="312" w:lineRule="auto"/>
        <w:rPr>
          <w:rFonts w:ascii="宋体" w:hAnsi="宋体" w:eastAsia="宋体"/>
          <w:u w:val="single"/>
        </w:rPr>
      </w:pPr>
    </w:p>
    <w:p w14:paraId="5BEEC08B">
      <w:pPr>
        <w:spacing w:line="312" w:lineRule="auto"/>
        <w:rPr>
          <w:rFonts w:ascii="宋体" w:hAnsi="宋体" w:eastAsia="宋体"/>
          <w:u w:val="single"/>
        </w:rPr>
      </w:pPr>
    </w:p>
    <w:p w14:paraId="5526BF76">
      <w:pPr>
        <w:spacing w:line="312" w:lineRule="auto"/>
        <w:rPr>
          <w:rFonts w:ascii="宋体" w:hAnsi="宋体" w:eastAsia="宋体"/>
          <w:u w:val="single"/>
        </w:rPr>
      </w:pPr>
    </w:p>
    <w:p w14:paraId="19340CDE">
      <w:pPr>
        <w:spacing w:line="312" w:lineRule="auto"/>
        <w:rPr>
          <w:rFonts w:ascii="宋体" w:hAnsi="宋体" w:eastAsia="宋体"/>
          <w:u w:val="single"/>
        </w:rPr>
      </w:pPr>
    </w:p>
    <w:p w14:paraId="6C2D7C24">
      <w:pPr>
        <w:spacing w:line="312" w:lineRule="auto"/>
        <w:rPr>
          <w:rFonts w:ascii="宋体" w:hAnsi="宋体" w:eastAsia="宋体"/>
          <w:u w:val="single"/>
        </w:rPr>
      </w:pPr>
    </w:p>
    <w:p w14:paraId="52E4A6F4">
      <w:pPr>
        <w:spacing w:line="312" w:lineRule="auto"/>
        <w:rPr>
          <w:rFonts w:ascii="宋体" w:hAnsi="宋体" w:eastAsia="宋体"/>
          <w:u w:val="single"/>
        </w:rPr>
      </w:pPr>
    </w:p>
    <w:p w14:paraId="7500F907">
      <w:pPr>
        <w:spacing w:line="312" w:lineRule="auto"/>
        <w:rPr>
          <w:rFonts w:ascii="宋体" w:hAnsi="宋体" w:eastAsia="宋体"/>
          <w:u w:val="single"/>
        </w:rPr>
      </w:pPr>
    </w:p>
    <w:p w14:paraId="3DDF382B">
      <w:pPr>
        <w:spacing w:line="312" w:lineRule="auto"/>
        <w:rPr>
          <w:rFonts w:ascii="宋体" w:hAnsi="宋体" w:eastAsia="宋体"/>
          <w:u w:val="single"/>
        </w:rPr>
      </w:pPr>
    </w:p>
    <w:p w14:paraId="5E319467">
      <w:pPr>
        <w:spacing w:line="312" w:lineRule="auto"/>
        <w:rPr>
          <w:rFonts w:ascii="宋体" w:hAnsi="宋体" w:eastAsia="宋体"/>
          <w:u w:val="single"/>
        </w:rPr>
      </w:pPr>
    </w:p>
    <w:p w14:paraId="728453F5">
      <w:pPr>
        <w:spacing w:line="312" w:lineRule="auto"/>
        <w:rPr>
          <w:rFonts w:ascii="宋体" w:hAnsi="宋体" w:eastAsia="宋体"/>
          <w:u w:val="single"/>
        </w:rPr>
      </w:pPr>
    </w:p>
    <w:p w14:paraId="2A8423B2">
      <w:pPr>
        <w:spacing w:line="312" w:lineRule="auto"/>
        <w:rPr>
          <w:rFonts w:ascii="宋体" w:hAnsi="宋体" w:eastAsia="宋体"/>
          <w:u w:val="single"/>
        </w:rPr>
      </w:pPr>
    </w:p>
    <w:p w14:paraId="1BAC7D10">
      <w:pPr>
        <w:spacing w:line="312" w:lineRule="auto"/>
        <w:rPr>
          <w:rFonts w:ascii="宋体" w:hAnsi="宋体" w:eastAsia="宋体"/>
          <w:u w:val="single"/>
        </w:rPr>
      </w:pPr>
    </w:p>
    <w:p w14:paraId="4351892F">
      <w:pPr>
        <w:spacing w:line="312" w:lineRule="auto"/>
        <w:rPr>
          <w:rFonts w:ascii="宋体" w:hAnsi="宋体" w:eastAsia="宋体"/>
          <w:u w:val="single"/>
        </w:rPr>
      </w:pPr>
    </w:p>
    <w:p w14:paraId="420D4FA0">
      <w:pPr>
        <w:spacing w:line="312" w:lineRule="auto"/>
        <w:rPr>
          <w:rFonts w:ascii="宋体" w:hAnsi="宋体" w:eastAsia="宋体"/>
          <w:u w:val="single"/>
        </w:rPr>
      </w:pPr>
      <w:r>
        <w:rPr>
          <w:rFonts w:hint="eastAsia" w:ascii="宋体" w:hAnsi="宋体" w:eastAsia="宋体"/>
          <w:b/>
          <w:sz w:val="28"/>
        </w:rPr>
        <w:t>格式9</w:t>
      </w:r>
    </w:p>
    <w:p w14:paraId="2705D959">
      <w:pPr>
        <w:snapToGrid w:val="0"/>
        <w:spacing w:line="360" w:lineRule="auto"/>
        <w:jc w:val="center"/>
        <w:rPr>
          <w:rFonts w:ascii="宋体" w:hAnsi="宋体" w:eastAsia="宋体"/>
          <w:b/>
        </w:rPr>
      </w:pPr>
      <w:r>
        <w:rPr>
          <w:rFonts w:hint="eastAsia" w:ascii="宋体" w:hAnsi="宋体" w:eastAsia="宋体"/>
          <w:b/>
          <w:sz w:val="32"/>
          <w:szCs w:val="32"/>
        </w:rPr>
        <w:t>商务部分条款</w:t>
      </w:r>
    </w:p>
    <w:p w14:paraId="523AC09E">
      <w:pPr>
        <w:snapToGrid w:val="0"/>
        <w:spacing w:line="480" w:lineRule="auto"/>
        <w:rPr>
          <w:rFonts w:ascii="宋体" w:hAnsi="宋体" w:eastAsia="宋体"/>
          <w:b/>
        </w:rPr>
      </w:pPr>
    </w:p>
    <w:p w14:paraId="3E6DC14D">
      <w:pPr>
        <w:adjustRightInd w:val="0"/>
        <w:snapToGrid w:val="0"/>
        <w:spacing w:line="480" w:lineRule="auto"/>
        <w:rPr>
          <w:rFonts w:ascii="宋体" w:hAnsi="宋体" w:eastAsia="宋体" w:cs="宋体"/>
          <w:b/>
          <w:szCs w:val="21"/>
        </w:rPr>
      </w:pPr>
      <w:r>
        <w:rPr>
          <w:rFonts w:hint="eastAsia" w:ascii="宋体" w:hAnsi="宋体" w:eastAsia="宋体" w:cs="宋体"/>
          <w:b/>
          <w:szCs w:val="21"/>
        </w:rPr>
        <w:t>主要内容应包括但不限于以下内容（格式自定）：</w:t>
      </w:r>
    </w:p>
    <w:p w14:paraId="35B64326">
      <w:pPr>
        <w:numPr>
          <w:ilvl w:val="3"/>
          <w:numId w:val="4"/>
        </w:numPr>
        <w:tabs>
          <w:tab w:val="left" w:pos="630"/>
          <w:tab w:val="left" w:pos="993"/>
          <w:tab w:val="clear" w:pos="1680"/>
        </w:tabs>
        <w:adjustRightInd w:val="0"/>
        <w:snapToGrid w:val="0"/>
        <w:spacing w:line="360" w:lineRule="auto"/>
        <w:ind w:left="993" w:right="279" w:rightChars="133" w:hanging="567"/>
        <w:rPr>
          <w:rFonts w:ascii="宋体" w:hAnsi="宋体" w:eastAsia="宋体"/>
        </w:rPr>
      </w:pPr>
      <w:r>
        <w:rPr>
          <w:rFonts w:hint="eastAsia" w:ascii="宋体" w:hAnsi="宋体" w:eastAsia="宋体"/>
        </w:rPr>
        <w:t>根据用户需求/商务部分评分表的内容要求提供相应的资料；</w:t>
      </w:r>
    </w:p>
    <w:p w14:paraId="15729D4D">
      <w:pPr>
        <w:numPr>
          <w:ilvl w:val="3"/>
          <w:numId w:val="4"/>
        </w:numPr>
        <w:tabs>
          <w:tab w:val="left" w:pos="630"/>
          <w:tab w:val="left" w:pos="993"/>
          <w:tab w:val="clear" w:pos="1680"/>
        </w:tabs>
        <w:adjustRightInd w:val="0"/>
        <w:snapToGrid w:val="0"/>
        <w:spacing w:line="360" w:lineRule="auto"/>
        <w:ind w:left="993" w:right="279" w:rightChars="133" w:hanging="567"/>
        <w:rPr>
          <w:rFonts w:ascii="宋体" w:hAnsi="宋体" w:eastAsia="宋体"/>
        </w:rPr>
      </w:pPr>
      <w:r>
        <w:rPr>
          <w:rFonts w:hint="eastAsia" w:ascii="宋体" w:hAnsi="宋体" w:eastAsia="宋体"/>
        </w:rPr>
        <w:t>配置人员</w:t>
      </w:r>
      <w:r>
        <w:rPr>
          <w:rFonts w:ascii="宋体" w:hAnsi="宋体" w:eastAsia="宋体"/>
        </w:rPr>
        <w:t>；</w:t>
      </w:r>
    </w:p>
    <w:p w14:paraId="3A6556A2">
      <w:pPr>
        <w:numPr>
          <w:ilvl w:val="3"/>
          <w:numId w:val="4"/>
        </w:numPr>
        <w:tabs>
          <w:tab w:val="left" w:pos="630"/>
          <w:tab w:val="left" w:pos="993"/>
          <w:tab w:val="clear" w:pos="1680"/>
        </w:tabs>
        <w:adjustRightInd w:val="0"/>
        <w:snapToGrid w:val="0"/>
        <w:spacing w:line="360" w:lineRule="auto"/>
        <w:ind w:left="993" w:right="279" w:rightChars="133" w:hanging="567"/>
        <w:rPr>
          <w:rFonts w:ascii="宋体" w:hAnsi="宋体" w:eastAsia="宋体"/>
        </w:rPr>
      </w:pPr>
      <w:r>
        <w:rPr>
          <w:rFonts w:ascii="宋体" w:hAnsi="宋体" w:eastAsia="宋体"/>
        </w:rPr>
        <w:t>运输配送能力</w:t>
      </w:r>
    </w:p>
    <w:p w14:paraId="05E2F592">
      <w:pPr>
        <w:numPr>
          <w:ilvl w:val="3"/>
          <w:numId w:val="4"/>
        </w:numPr>
        <w:tabs>
          <w:tab w:val="left" w:pos="630"/>
          <w:tab w:val="left" w:pos="993"/>
          <w:tab w:val="clear" w:pos="1680"/>
        </w:tabs>
        <w:adjustRightInd w:val="0"/>
        <w:snapToGrid w:val="0"/>
        <w:spacing w:line="360" w:lineRule="auto"/>
        <w:ind w:left="993" w:right="279" w:rightChars="133" w:hanging="567"/>
        <w:rPr>
          <w:rFonts w:ascii="宋体" w:hAnsi="宋体" w:eastAsia="宋体"/>
        </w:rPr>
      </w:pPr>
      <w:r>
        <w:rPr>
          <w:rFonts w:ascii="宋体" w:hAnsi="宋体" w:eastAsia="宋体"/>
        </w:rPr>
        <w:t>同类项目业绩</w:t>
      </w:r>
    </w:p>
    <w:p w14:paraId="3AA58E91">
      <w:pPr>
        <w:numPr>
          <w:ilvl w:val="3"/>
          <w:numId w:val="4"/>
        </w:numPr>
        <w:tabs>
          <w:tab w:val="left" w:pos="630"/>
          <w:tab w:val="left" w:pos="993"/>
          <w:tab w:val="clear" w:pos="1680"/>
        </w:tabs>
        <w:adjustRightInd w:val="0"/>
        <w:snapToGrid w:val="0"/>
        <w:spacing w:line="360" w:lineRule="auto"/>
        <w:ind w:left="993" w:right="279" w:rightChars="133" w:hanging="567"/>
        <w:rPr>
          <w:rFonts w:ascii="宋体" w:hAnsi="宋体" w:eastAsia="宋体"/>
        </w:rPr>
      </w:pPr>
      <w:r>
        <w:rPr>
          <w:rFonts w:hint="eastAsia" w:ascii="宋体" w:hAnsi="宋体" w:eastAsia="宋体"/>
        </w:rPr>
        <w:t>投标人认为对投标有利的其他资料。</w:t>
      </w:r>
    </w:p>
    <w:p w14:paraId="478B2ACF">
      <w:pPr>
        <w:spacing w:line="500" w:lineRule="exact"/>
        <w:ind w:left="2692" w:leftChars="1282"/>
        <w:rPr>
          <w:rFonts w:ascii="宋体" w:hAnsi="宋体" w:eastAsia="宋体" w:cs="宋体"/>
          <w:spacing w:val="4"/>
          <w:szCs w:val="21"/>
        </w:rPr>
      </w:pPr>
    </w:p>
    <w:p w14:paraId="343B72A2">
      <w:pPr>
        <w:spacing w:line="312" w:lineRule="auto"/>
        <w:rPr>
          <w:rFonts w:ascii="宋体" w:hAnsi="宋体" w:eastAsia="宋体"/>
          <w:u w:val="single"/>
        </w:rPr>
      </w:pPr>
    </w:p>
    <w:p w14:paraId="58E90F73">
      <w:pPr>
        <w:spacing w:line="312" w:lineRule="auto"/>
        <w:rPr>
          <w:rFonts w:ascii="宋体" w:hAnsi="宋体" w:eastAsia="宋体"/>
          <w:u w:val="single"/>
        </w:rPr>
      </w:pPr>
    </w:p>
    <w:p w14:paraId="15E9798F">
      <w:pPr>
        <w:spacing w:line="312" w:lineRule="auto"/>
        <w:rPr>
          <w:rFonts w:ascii="宋体" w:hAnsi="宋体" w:eastAsia="宋体"/>
          <w:u w:val="single"/>
        </w:rPr>
      </w:pPr>
    </w:p>
    <w:p w14:paraId="13BFC0EA">
      <w:pPr>
        <w:spacing w:line="312" w:lineRule="auto"/>
        <w:rPr>
          <w:rFonts w:ascii="宋体" w:hAnsi="宋体" w:eastAsia="宋体"/>
          <w:u w:val="single"/>
        </w:rPr>
      </w:pPr>
    </w:p>
    <w:p w14:paraId="18D13293">
      <w:pPr>
        <w:spacing w:line="312" w:lineRule="auto"/>
        <w:rPr>
          <w:rFonts w:ascii="宋体" w:hAnsi="宋体" w:eastAsia="宋体"/>
          <w:u w:val="single"/>
        </w:rPr>
      </w:pPr>
    </w:p>
    <w:p w14:paraId="312AD271">
      <w:pPr>
        <w:spacing w:line="312" w:lineRule="auto"/>
        <w:rPr>
          <w:rFonts w:ascii="宋体" w:hAnsi="宋体" w:eastAsia="宋体"/>
          <w:u w:val="single"/>
        </w:rPr>
      </w:pPr>
    </w:p>
    <w:p w14:paraId="4F23DE28">
      <w:pPr>
        <w:spacing w:line="312" w:lineRule="auto"/>
        <w:rPr>
          <w:rFonts w:ascii="宋体" w:hAnsi="宋体" w:eastAsia="宋体"/>
          <w:u w:val="single"/>
        </w:rPr>
      </w:pPr>
    </w:p>
    <w:p w14:paraId="6A7A6C4C">
      <w:pPr>
        <w:spacing w:line="312" w:lineRule="auto"/>
        <w:rPr>
          <w:rFonts w:ascii="宋体" w:hAnsi="宋体" w:eastAsia="宋体"/>
          <w:u w:val="single"/>
        </w:rPr>
      </w:pPr>
    </w:p>
    <w:p w14:paraId="63438940">
      <w:pPr>
        <w:spacing w:line="312" w:lineRule="auto"/>
        <w:rPr>
          <w:rFonts w:ascii="宋体" w:hAnsi="宋体" w:eastAsia="宋体"/>
          <w:u w:val="single"/>
        </w:rPr>
      </w:pPr>
    </w:p>
    <w:p w14:paraId="3EC4C73F">
      <w:pPr>
        <w:spacing w:line="312" w:lineRule="auto"/>
        <w:rPr>
          <w:rFonts w:ascii="宋体" w:hAnsi="宋体" w:eastAsia="宋体"/>
          <w:u w:val="single"/>
        </w:rPr>
      </w:pPr>
    </w:p>
    <w:p w14:paraId="16F7535F">
      <w:pPr>
        <w:spacing w:line="312" w:lineRule="auto"/>
        <w:rPr>
          <w:rFonts w:ascii="宋体" w:hAnsi="宋体" w:eastAsia="宋体"/>
          <w:u w:val="single"/>
        </w:rPr>
      </w:pPr>
    </w:p>
    <w:p w14:paraId="655F4476">
      <w:pPr>
        <w:spacing w:line="312" w:lineRule="auto"/>
        <w:rPr>
          <w:rFonts w:ascii="宋体" w:hAnsi="宋体" w:eastAsia="宋体"/>
          <w:u w:val="single"/>
        </w:rPr>
      </w:pPr>
    </w:p>
    <w:p w14:paraId="67FD4EAA">
      <w:pPr>
        <w:spacing w:line="312" w:lineRule="auto"/>
        <w:rPr>
          <w:rFonts w:ascii="宋体" w:hAnsi="宋体" w:eastAsia="宋体"/>
          <w:u w:val="single"/>
        </w:rPr>
      </w:pPr>
    </w:p>
    <w:p w14:paraId="2552908E">
      <w:pPr>
        <w:spacing w:line="312" w:lineRule="auto"/>
        <w:rPr>
          <w:rFonts w:ascii="宋体" w:hAnsi="宋体" w:eastAsia="宋体"/>
          <w:u w:val="single"/>
        </w:rPr>
      </w:pPr>
    </w:p>
    <w:p w14:paraId="4ED03D05">
      <w:pPr>
        <w:spacing w:line="312" w:lineRule="auto"/>
        <w:rPr>
          <w:rFonts w:ascii="宋体" w:hAnsi="宋体" w:eastAsia="宋体"/>
          <w:u w:val="single"/>
        </w:rPr>
      </w:pPr>
    </w:p>
    <w:p w14:paraId="37F601B5">
      <w:pPr>
        <w:spacing w:line="312" w:lineRule="auto"/>
        <w:rPr>
          <w:rFonts w:ascii="宋体" w:hAnsi="宋体" w:eastAsia="宋体"/>
          <w:u w:val="single"/>
        </w:rPr>
      </w:pPr>
    </w:p>
    <w:p w14:paraId="41746ED4">
      <w:pPr>
        <w:spacing w:line="312" w:lineRule="auto"/>
        <w:rPr>
          <w:rFonts w:ascii="宋体" w:hAnsi="宋体" w:eastAsia="宋体"/>
          <w:u w:val="single"/>
        </w:rPr>
      </w:pPr>
    </w:p>
    <w:p w14:paraId="717A5E5E">
      <w:pPr>
        <w:spacing w:line="312" w:lineRule="auto"/>
        <w:rPr>
          <w:rFonts w:ascii="宋体" w:hAnsi="宋体" w:eastAsia="宋体"/>
          <w:u w:val="single"/>
        </w:rPr>
      </w:pPr>
    </w:p>
    <w:p w14:paraId="782FEC72">
      <w:pPr>
        <w:spacing w:line="312" w:lineRule="auto"/>
        <w:rPr>
          <w:rFonts w:ascii="宋体" w:hAnsi="宋体" w:eastAsia="宋体"/>
          <w:u w:val="single"/>
        </w:rPr>
      </w:pPr>
    </w:p>
    <w:p w14:paraId="5D8F6401">
      <w:pPr>
        <w:spacing w:line="312" w:lineRule="auto"/>
        <w:rPr>
          <w:rFonts w:ascii="宋体" w:hAnsi="宋体" w:eastAsia="宋体"/>
          <w:u w:val="single"/>
        </w:rPr>
      </w:pPr>
    </w:p>
    <w:p w14:paraId="78C743A9">
      <w:pPr>
        <w:spacing w:line="312" w:lineRule="auto"/>
        <w:rPr>
          <w:rFonts w:ascii="宋体" w:hAnsi="宋体" w:eastAsia="宋体"/>
          <w:u w:val="single"/>
        </w:rPr>
      </w:pPr>
    </w:p>
    <w:p w14:paraId="5EF3629E">
      <w:pPr>
        <w:spacing w:line="312" w:lineRule="auto"/>
        <w:rPr>
          <w:rFonts w:ascii="宋体" w:hAnsi="宋体" w:eastAsia="宋体"/>
          <w:u w:val="single"/>
        </w:rPr>
      </w:pPr>
    </w:p>
    <w:p w14:paraId="31898719">
      <w:pPr>
        <w:spacing w:line="312" w:lineRule="auto"/>
        <w:rPr>
          <w:rFonts w:ascii="宋体" w:hAnsi="宋体" w:eastAsia="宋体"/>
          <w:b/>
          <w:sz w:val="28"/>
        </w:rPr>
      </w:pPr>
      <w:r>
        <w:rPr>
          <w:rFonts w:hint="eastAsia" w:ascii="宋体" w:hAnsi="宋体" w:eastAsia="宋体"/>
          <w:b/>
          <w:sz w:val="28"/>
        </w:rPr>
        <w:t>格式10</w:t>
      </w:r>
    </w:p>
    <w:p w14:paraId="4808970B">
      <w:pPr>
        <w:pStyle w:val="11"/>
        <w:tabs>
          <w:tab w:val="left" w:pos="709"/>
        </w:tabs>
        <w:snapToGrid w:val="0"/>
        <w:spacing w:before="124" w:beforeLines="40" w:after="312" w:afterLines="100"/>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用户需求响应一览表</w:t>
      </w:r>
    </w:p>
    <w:p w14:paraId="212B4C12">
      <w:pPr>
        <w:widowControl/>
        <w:wordWrap w:val="0"/>
        <w:spacing w:line="360" w:lineRule="auto"/>
        <w:jc w:val="left"/>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bCs/>
          <w:color w:val="000000" w:themeColor="text1"/>
          <w:szCs w:val="20"/>
          <w14:textFill>
            <w14:solidFill>
              <w14:schemeClr w14:val="tx1"/>
            </w14:solidFill>
          </w14:textFill>
        </w:rPr>
        <w:t>项目名称：</w:t>
      </w:r>
      <w:r>
        <w:rPr>
          <w:rFonts w:hint="eastAsia" w:ascii="宋体" w:hAnsi="宋体" w:eastAsia="宋体"/>
          <w:color w:val="000000" w:themeColor="text1"/>
          <w:lang w:eastAsia="zh-CN"/>
          <w14:textFill>
            <w14:solidFill>
              <w14:schemeClr w14:val="tx1"/>
            </w14:solidFill>
          </w14:textFill>
        </w:rPr>
        <w:t>郁南县桂圩镇初级中学2025-2026学年食堂食品采购项目</w:t>
      </w:r>
      <w:r>
        <w:rPr>
          <w:rFonts w:hint="eastAsia" w:ascii="宋体" w:hAnsi="宋体" w:eastAsia="宋体"/>
          <w:color w:val="000000" w:themeColor="text1"/>
          <w14:textFill>
            <w14:solidFill>
              <w14:schemeClr w14:val="tx1"/>
            </w14:solidFill>
          </w14:textFill>
        </w:rPr>
        <w:t xml:space="preserve">     项目编号：</w:t>
      </w:r>
      <w:r>
        <w:rPr>
          <w:rFonts w:hint="eastAsia" w:ascii="宋体" w:hAnsi="宋体" w:eastAsia="宋体" w:cs="宋体"/>
          <w:color w:val="000000" w:themeColor="text1"/>
          <w:szCs w:val="21"/>
          <w:lang w:eastAsia="zh-CN"/>
          <w14:textFill>
            <w14:solidFill>
              <w14:schemeClr w14:val="tx1"/>
            </w14:solidFill>
          </w14:textFill>
        </w:rPr>
        <w:t>GDCF-YN-CG-20250802</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9"/>
        <w:gridCol w:w="3413"/>
        <w:gridCol w:w="2669"/>
        <w:gridCol w:w="2972"/>
      </w:tblGrid>
      <w:tr w14:paraId="1FA6E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339" w:type="pct"/>
            <w:tcBorders>
              <w:top w:val="single" w:color="auto" w:sz="12" w:space="0"/>
              <w:bottom w:val="single" w:color="auto" w:sz="6" w:space="0"/>
            </w:tcBorders>
            <w:shd w:val="clear" w:color="auto" w:fill="auto"/>
            <w:noWrap/>
            <w:vAlign w:val="center"/>
          </w:tcPr>
          <w:p w14:paraId="0DA8C307">
            <w:pPr>
              <w:spacing w:line="40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1757" w:type="pct"/>
            <w:tcBorders>
              <w:top w:val="single" w:color="auto" w:sz="12" w:space="0"/>
              <w:bottom w:val="single" w:color="auto" w:sz="6" w:space="0"/>
            </w:tcBorders>
            <w:shd w:val="clear" w:color="auto" w:fill="auto"/>
            <w:noWrap/>
            <w:vAlign w:val="center"/>
          </w:tcPr>
          <w:p w14:paraId="02878AA7">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原条款描述</w:t>
            </w:r>
          </w:p>
        </w:tc>
        <w:tc>
          <w:tcPr>
            <w:tcW w:w="1374" w:type="pct"/>
            <w:tcBorders>
              <w:top w:val="single" w:color="auto" w:sz="12" w:space="0"/>
              <w:bottom w:val="single" w:color="auto" w:sz="6" w:space="0"/>
            </w:tcBorders>
            <w:shd w:val="clear" w:color="auto" w:fill="auto"/>
            <w:noWrap/>
            <w:vAlign w:val="center"/>
          </w:tcPr>
          <w:p w14:paraId="59547E2C">
            <w:pPr>
              <w:jc w:val="center"/>
              <w:rPr>
                <w:rFonts w:ascii="宋体" w:hAnsi="宋体" w:eastAsia="宋体"/>
                <w:color w:val="000000" w:themeColor="text1"/>
                <w14:textFill>
                  <w14:solidFill>
                    <w14:schemeClr w14:val="tx1"/>
                  </w14:solidFill>
                </w14:textFill>
              </w:rPr>
            </w:pPr>
            <w:r>
              <w:rPr>
                <w:rFonts w:hint="eastAsia" w:ascii="宋体" w:hAnsi="宋体" w:eastAsia="宋体"/>
              </w:rPr>
              <w:t>供应商</w:t>
            </w:r>
            <w:r>
              <w:rPr>
                <w:rFonts w:hint="eastAsia" w:ascii="宋体" w:hAnsi="宋体" w:eastAsia="宋体"/>
                <w:color w:val="000000" w:themeColor="text1"/>
                <w14:textFill>
                  <w14:solidFill>
                    <w14:schemeClr w14:val="tx1"/>
                  </w14:solidFill>
                </w14:textFill>
              </w:rPr>
              <w:t>响应描述</w:t>
            </w:r>
          </w:p>
        </w:tc>
        <w:tc>
          <w:tcPr>
            <w:tcW w:w="1530" w:type="pct"/>
            <w:tcBorders>
              <w:top w:val="single" w:color="auto" w:sz="12" w:space="0"/>
              <w:bottom w:val="single" w:color="auto" w:sz="6" w:space="0"/>
            </w:tcBorders>
            <w:shd w:val="clear" w:color="auto" w:fill="auto"/>
            <w:noWrap/>
            <w:vAlign w:val="center"/>
          </w:tcPr>
          <w:p w14:paraId="1C22DB9D">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偏离情况说明</w:t>
            </w:r>
          </w:p>
          <w:p w14:paraId="3F3DE2EB">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（正偏离/完全响应/负偏离）</w:t>
            </w:r>
          </w:p>
        </w:tc>
      </w:tr>
      <w:tr w14:paraId="5F232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39" w:type="pct"/>
            <w:tcBorders>
              <w:top w:val="single" w:color="auto" w:sz="6" w:space="0"/>
            </w:tcBorders>
            <w:noWrap/>
            <w:vAlign w:val="center"/>
          </w:tcPr>
          <w:p w14:paraId="1A359679">
            <w:pPr>
              <w:numPr>
                <w:ilvl w:val="0"/>
                <w:numId w:val="5"/>
              </w:numPr>
              <w:spacing w:line="400" w:lineRule="exact"/>
              <w:jc w:val="center"/>
              <w:rPr>
                <w:rFonts w:ascii="宋体" w:hAnsi="宋体" w:eastAsia="宋体"/>
                <w:color w:val="000000" w:themeColor="text1"/>
                <w:szCs w:val="21"/>
                <w14:textFill>
                  <w14:solidFill>
                    <w14:schemeClr w14:val="tx1"/>
                  </w14:solidFill>
                </w14:textFill>
              </w:rPr>
            </w:pPr>
          </w:p>
        </w:tc>
        <w:tc>
          <w:tcPr>
            <w:tcW w:w="1757" w:type="pct"/>
            <w:tcBorders>
              <w:top w:val="single" w:color="auto" w:sz="6" w:space="0"/>
            </w:tcBorders>
            <w:noWrap/>
            <w:vAlign w:val="center"/>
          </w:tcPr>
          <w:p w14:paraId="6E0A38F5">
            <w:pPr>
              <w:rPr>
                <w:rFonts w:ascii="宋体" w:hAnsi="宋体" w:eastAsia="宋体"/>
                <w:color w:val="000000" w:themeColor="text1"/>
                <w14:textFill>
                  <w14:solidFill>
                    <w14:schemeClr w14:val="tx1"/>
                  </w14:solidFill>
                </w14:textFill>
              </w:rPr>
            </w:pPr>
          </w:p>
        </w:tc>
        <w:tc>
          <w:tcPr>
            <w:tcW w:w="1374" w:type="pct"/>
            <w:tcBorders>
              <w:top w:val="single" w:color="auto" w:sz="6" w:space="0"/>
            </w:tcBorders>
            <w:noWrap/>
            <w:vAlign w:val="center"/>
          </w:tcPr>
          <w:p w14:paraId="34BD772E">
            <w:pPr>
              <w:spacing w:line="400" w:lineRule="exact"/>
              <w:jc w:val="center"/>
              <w:rPr>
                <w:rFonts w:ascii="宋体" w:hAnsi="宋体" w:eastAsia="宋体"/>
                <w:color w:val="000000" w:themeColor="text1"/>
                <w14:textFill>
                  <w14:solidFill>
                    <w14:schemeClr w14:val="tx1"/>
                  </w14:solidFill>
                </w14:textFill>
              </w:rPr>
            </w:pPr>
          </w:p>
        </w:tc>
        <w:tc>
          <w:tcPr>
            <w:tcW w:w="1530" w:type="pct"/>
            <w:tcBorders>
              <w:top w:val="single" w:color="auto" w:sz="6" w:space="0"/>
            </w:tcBorders>
            <w:noWrap/>
            <w:vAlign w:val="center"/>
          </w:tcPr>
          <w:p w14:paraId="025E2D9F">
            <w:pPr>
              <w:spacing w:line="400" w:lineRule="exact"/>
              <w:jc w:val="center"/>
              <w:rPr>
                <w:rFonts w:ascii="宋体" w:hAnsi="宋体" w:eastAsia="宋体"/>
                <w:color w:val="000000" w:themeColor="text1"/>
                <w14:textFill>
                  <w14:solidFill>
                    <w14:schemeClr w14:val="tx1"/>
                  </w14:solidFill>
                </w14:textFill>
              </w:rPr>
            </w:pPr>
          </w:p>
        </w:tc>
      </w:tr>
      <w:tr w14:paraId="13578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339" w:type="pct"/>
            <w:noWrap/>
            <w:vAlign w:val="center"/>
          </w:tcPr>
          <w:p w14:paraId="558C6D3F">
            <w:pPr>
              <w:numPr>
                <w:ilvl w:val="0"/>
                <w:numId w:val="5"/>
              </w:numPr>
              <w:spacing w:line="400" w:lineRule="exact"/>
              <w:jc w:val="center"/>
              <w:rPr>
                <w:rFonts w:ascii="宋体" w:hAnsi="宋体" w:eastAsia="宋体"/>
                <w:color w:val="000000" w:themeColor="text1"/>
                <w:szCs w:val="21"/>
                <w14:textFill>
                  <w14:solidFill>
                    <w14:schemeClr w14:val="tx1"/>
                  </w14:solidFill>
                </w14:textFill>
              </w:rPr>
            </w:pPr>
          </w:p>
        </w:tc>
        <w:tc>
          <w:tcPr>
            <w:tcW w:w="1757" w:type="pct"/>
            <w:noWrap/>
            <w:vAlign w:val="center"/>
          </w:tcPr>
          <w:p w14:paraId="491ED781">
            <w:pPr>
              <w:rPr>
                <w:rFonts w:ascii="宋体" w:hAnsi="宋体" w:eastAsia="宋体"/>
                <w:color w:val="000000" w:themeColor="text1"/>
                <w14:textFill>
                  <w14:solidFill>
                    <w14:schemeClr w14:val="tx1"/>
                  </w14:solidFill>
                </w14:textFill>
              </w:rPr>
            </w:pPr>
          </w:p>
        </w:tc>
        <w:tc>
          <w:tcPr>
            <w:tcW w:w="1374" w:type="pct"/>
            <w:noWrap/>
            <w:vAlign w:val="center"/>
          </w:tcPr>
          <w:p w14:paraId="4CF24CEA">
            <w:pPr>
              <w:spacing w:line="400" w:lineRule="exact"/>
              <w:jc w:val="center"/>
              <w:rPr>
                <w:rFonts w:ascii="宋体" w:hAnsi="宋体" w:eastAsia="宋体"/>
                <w:color w:val="000000" w:themeColor="text1"/>
                <w14:textFill>
                  <w14:solidFill>
                    <w14:schemeClr w14:val="tx1"/>
                  </w14:solidFill>
                </w14:textFill>
              </w:rPr>
            </w:pPr>
          </w:p>
        </w:tc>
        <w:tc>
          <w:tcPr>
            <w:tcW w:w="1530" w:type="pct"/>
            <w:noWrap/>
            <w:vAlign w:val="center"/>
          </w:tcPr>
          <w:p w14:paraId="61306894">
            <w:pPr>
              <w:spacing w:line="400" w:lineRule="exact"/>
              <w:jc w:val="center"/>
              <w:rPr>
                <w:rFonts w:ascii="宋体" w:hAnsi="宋体" w:eastAsia="宋体"/>
                <w:color w:val="000000" w:themeColor="text1"/>
                <w14:textFill>
                  <w14:solidFill>
                    <w14:schemeClr w14:val="tx1"/>
                  </w14:solidFill>
                </w14:textFill>
              </w:rPr>
            </w:pPr>
          </w:p>
        </w:tc>
      </w:tr>
      <w:tr w14:paraId="3C744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39" w:type="pct"/>
            <w:noWrap/>
            <w:vAlign w:val="center"/>
          </w:tcPr>
          <w:p w14:paraId="491910C3">
            <w:pPr>
              <w:numPr>
                <w:ilvl w:val="0"/>
                <w:numId w:val="5"/>
              </w:numPr>
              <w:spacing w:line="400" w:lineRule="exact"/>
              <w:jc w:val="center"/>
              <w:rPr>
                <w:rFonts w:ascii="宋体" w:hAnsi="宋体" w:eastAsia="宋体"/>
                <w:color w:val="000000" w:themeColor="text1"/>
                <w:szCs w:val="21"/>
                <w14:textFill>
                  <w14:solidFill>
                    <w14:schemeClr w14:val="tx1"/>
                  </w14:solidFill>
                </w14:textFill>
              </w:rPr>
            </w:pPr>
          </w:p>
        </w:tc>
        <w:tc>
          <w:tcPr>
            <w:tcW w:w="1757" w:type="pct"/>
            <w:noWrap/>
            <w:vAlign w:val="center"/>
          </w:tcPr>
          <w:p w14:paraId="39B954AB">
            <w:pPr>
              <w:rPr>
                <w:rFonts w:ascii="宋体" w:hAnsi="宋体" w:eastAsia="宋体"/>
                <w:color w:val="000000" w:themeColor="text1"/>
                <w14:textFill>
                  <w14:solidFill>
                    <w14:schemeClr w14:val="tx1"/>
                  </w14:solidFill>
                </w14:textFill>
              </w:rPr>
            </w:pPr>
          </w:p>
        </w:tc>
        <w:tc>
          <w:tcPr>
            <w:tcW w:w="1374" w:type="pct"/>
            <w:noWrap/>
            <w:vAlign w:val="center"/>
          </w:tcPr>
          <w:p w14:paraId="07CB494B">
            <w:pPr>
              <w:spacing w:line="400" w:lineRule="exact"/>
              <w:jc w:val="center"/>
              <w:rPr>
                <w:rFonts w:ascii="宋体" w:hAnsi="宋体" w:eastAsia="宋体"/>
                <w:color w:val="000000" w:themeColor="text1"/>
                <w14:textFill>
                  <w14:solidFill>
                    <w14:schemeClr w14:val="tx1"/>
                  </w14:solidFill>
                </w14:textFill>
              </w:rPr>
            </w:pPr>
          </w:p>
        </w:tc>
        <w:tc>
          <w:tcPr>
            <w:tcW w:w="1530" w:type="pct"/>
            <w:noWrap/>
            <w:vAlign w:val="center"/>
          </w:tcPr>
          <w:p w14:paraId="70540C84">
            <w:pPr>
              <w:spacing w:line="400" w:lineRule="exact"/>
              <w:jc w:val="center"/>
              <w:rPr>
                <w:rFonts w:ascii="宋体" w:hAnsi="宋体" w:eastAsia="宋体"/>
                <w:color w:val="000000" w:themeColor="text1"/>
                <w14:textFill>
                  <w14:solidFill>
                    <w14:schemeClr w14:val="tx1"/>
                  </w14:solidFill>
                </w14:textFill>
              </w:rPr>
            </w:pPr>
          </w:p>
        </w:tc>
      </w:tr>
      <w:tr w14:paraId="225AE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39" w:type="pct"/>
            <w:noWrap/>
            <w:vAlign w:val="center"/>
          </w:tcPr>
          <w:p w14:paraId="1FA1BBFA">
            <w:pPr>
              <w:spacing w:line="400" w:lineRule="exac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757" w:type="pct"/>
            <w:noWrap/>
            <w:vAlign w:val="center"/>
          </w:tcPr>
          <w:p w14:paraId="4E4D42EB">
            <w:pPr>
              <w:rPr>
                <w:rFonts w:ascii="宋体" w:hAnsi="宋体" w:eastAsia="宋体"/>
                <w:color w:val="000000" w:themeColor="text1"/>
                <w14:textFill>
                  <w14:solidFill>
                    <w14:schemeClr w14:val="tx1"/>
                  </w14:solidFill>
                </w14:textFill>
              </w:rPr>
            </w:pPr>
          </w:p>
        </w:tc>
        <w:tc>
          <w:tcPr>
            <w:tcW w:w="1374" w:type="pct"/>
            <w:noWrap/>
            <w:vAlign w:val="center"/>
          </w:tcPr>
          <w:p w14:paraId="66B89EA1">
            <w:pPr>
              <w:spacing w:line="400" w:lineRule="exact"/>
              <w:jc w:val="center"/>
              <w:rPr>
                <w:rFonts w:ascii="宋体" w:hAnsi="宋体" w:eastAsia="宋体"/>
                <w:color w:val="000000" w:themeColor="text1"/>
                <w14:textFill>
                  <w14:solidFill>
                    <w14:schemeClr w14:val="tx1"/>
                  </w14:solidFill>
                </w14:textFill>
              </w:rPr>
            </w:pPr>
          </w:p>
        </w:tc>
        <w:tc>
          <w:tcPr>
            <w:tcW w:w="1530" w:type="pct"/>
            <w:noWrap/>
            <w:vAlign w:val="center"/>
          </w:tcPr>
          <w:p w14:paraId="58D46396">
            <w:pPr>
              <w:spacing w:line="400" w:lineRule="exact"/>
              <w:jc w:val="center"/>
              <w:rPr>
                <w:rFonts w:ascii="宋体" w:hAnsi="宋体" w:eastAsia="宋体"/>
                <w:color w:val="000000" w:themeColor="text1"/>
                <w14:textFill>
                  <w14:solidFill>
                    <w14:schemeClr w14:val="tx1"/>
                  </w14:solidFill>
                </w14:textFill>
              </w:rPr>
            </w:pPr>
          </w:p>
        </w:tc>
      </w:tr>
    </w:tbl>
    <w:p w14:paraId="3599AEE8">
      <w:pPr>
        <w:rPr>
          <w:rFonts w:ascii="宋体" w:hAnsi="宋体" w:eastAsia="宋体" w:cs="宋体"/>
          <w:color w:val="000000" w:themeColor="text1"/>
          <w:sz w:val="25"/>
          <w:szCs w:val="25"/>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说明：投标人必须对应竞争性磋商文件的用户需求书条款应答并按要求填写。</w:t>
      </w:r>
    </w:p>
    <w:p w14:paraId="5DE52397">
      <w:pPr>
        <w:ind w:left="2692" w:leftChars="1282"/>
        <w:rPr>
          <w:rFonts w:ascii="宋体" w:hAnsi="宋体" w:eastAsia="宋体" w:cs="宋体"/>
          <w:color w:val="000000" w:themeColor="text1"/>
          <w:sz w:val="25"/>
          <w:szCs w:val="25"/>
          <w14:textFill>
            <w14:solidFill>
              <w14:schemeClr w14:val="tx1"/>
            </w14:solidFill>
          </w14:textFill>
        </w:rPr>
      </w:pPr>
    </w:p>
    <w:p w14:paraId="004B5A18">
      <w:pPr>
        <w:adjustRightInd w:val="0"/>
        <w:snapToGrid w:val="0"/>
        <w:spacing w:before="156" w:beforeLines="50" w:line="360" w:lineRule="auto"/>
        <w:rPr>
          <w:rFonts w:ascii="宋体" w:hAnsi="宋体" w:eastAsia="宋体"/>
          <w:color w:val="000000" w:themeColor="text1"/>
          <w:u w:val="single"/>
          <w14:textFill>
            <w14:solidFill>
              <w14:schemeClr w14:val="tx1"/>
            </w14:solidFill>
          </w14:textFill>
        </w:rPr>
      </w:pPr>
      <w:r>
        <w:rPr>
          <w:rFonts w:hint="eastAsia" w:ascii="宋体" w:hAnsi="宋体" w:eastAsia="宋体"/>
        </w:rPr>
        <w:t>供应商</w:t>
      </w:r>
      <w:r>
        <w:rPr>
          <w:rFonts w:hint="eastAsia" w:ascii="宋体" w:hAnsi="宋体" w:eastAsia="宋体"/>
          <w:color w:val="000000" w:themeColor="text1"/>
          <w:spacing w:val="4"/>
          <w14:textFill>
            <w14:solidFill>
              <w14:schemeClr w14:val="tx1"/>
            </w14:solidFill>
          </w14:textFill>
        </w:rPr>
        <w:t>名称</w:t>
      </w:r>
      <w:r>
        <w:rPr>
          <w:rFonts w:hint="eastAsia" w:ascii="宋体" w:hAnsi="宋体" w:eastAsia="宋体" w:cs="宋体"/>
          <w:color w:val="000000" w:themeColor="text1"/>
          <w:szCs w:val="21"/>
          <w14:textFill>
            <w14:solidFill>
              <w14:schemeClr w14:val="tx1"/>
            </w14:solidFill>
          </w14:textFill>
        </w:rPr>
        <w:t>（盖公章）</w:t>
      </w:r>
      <w:r>
        <w:rPr>
          <w:rFonts w:hint="eastAsia" w:ascii="宋体" w:hAnsi="宋体" w:eastAsia="宋体"/>
          <w:color w:val="000000" w:themeColor="text1"/>
          <w:spacing w:val="4"/>
          <w14:textFill>
            <w14:solidFill>
              <w14:schemeClr w14:val="tx1"/>
            </w14:solidFill>
          </w14:textFill>
        </w:rPr>
        <w:t>：</w:t>
      </w:r>
    </w:p>
    <w:p w14:paraId="46AF2FC4">
      <w:pPr>
        <w:adjustRightInd w:val="0"/>
        <w:snapToGrid w:val="0"/>
        <w:spacing w:before="156" w:beforeLines="50" w:line="360" w:lineRule="auto"/>
        <w:rPr>
          <w:rFonts w:ascii="宋体" w:hAnsi="宋体" w:eastAsia="宋体"/>
          <w:color w:val="000000" w:themeColor="text1"/>
          <w:spacing w:val="4"/>
          <w:u w:val="single"/>
          <w14:textFill>
            <w14:solidFill>
              <w14:schemeClr w14:val="tx1"/>
            </w14:solidFill>
          </w14:textFill>
        </w:rPr>
      </w:pPr>
      <w:r>
        <w:rPr>
          <w:rFonts w:hint="eastAsia" w:ascii="宋体" w:hAnsi="宋体" w:eastAsia="宋体"/>
          <w:color w:val="000000" w:themeColor="text1"/>
          <w:spacing w:val="4"/>
          <w14:textFill>
            <w14:solidFill>
              <w14:schemeClr w14:val="tx1"/>
            </w14:solidFill>
          </w14:textFill>
        </w:rPr>
        <w:t>法定代表人或</w:t>
      </w:r>
      <w:r>
        <w:rPr>
          <w:rFonts w:hint="eastAsia" w:ascii="宋体" w:hAnsi="宋体" w:eastAsia="宋体"/>
        </w:rPr>
        <w:t>供应商</w:t>
      </w:r>
      <w:r>
        <w:rPr>
          <w:rFonts w:hint="eastAsia" w:ascii="宋体" w:hAnsi="宋体" w:eastAsia="宋体"/>
          <w:color w:val="000000" w:themeColor="text1"/>
          <w:spacing w:val="4"/>
          <w14:textFill>
            <w14:solidFill>
              <w14:schemeClr w14:val="tx1"/>
            </w14:solidFill>
          </w14:textFill>
        </w:rPr>
        <w:t>授权代表</w:t>
      </w:r>
      <w:r>
        <w:rPr>
          <w:rFonts w:hint="eastAsia" w:ascii="宋体" w:hAnsi="宋体" w:eastAsia="宋体"/>
          <w:color w:val="000000" w:themeColor="text1"/>
          <w14:textFill>
            <w14:solidFill>
              <w14:schemeClr w14:val="tx1"/>
            </w14:solidFill>
          </w14:textFill>
        </w:rPr>
        <w:t>（签名或盖章）：</w:t>
      </w:r>
    </w:p>
    <w:p w14:paraId="61942419">
      <w:pPr>
        <w:adjustRightInd w:val="0"/>
        <w:snapToGrid w:val="0"/>
        <w:spacing w:before="156" w:beforeLines="5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日期：</w:t>
      </w:r>
    </w:p>
    <w:p w14:paraId="0D4BE290">
      <w:pPr>
        <w:adjustRightInd w:val="0"/>
        <w:snapToGrid w:val="0"/>
        <w:spacing w:before="156" w:beforeLines="50" w:line="360" w:lineRule="auto"/>
        <w:rPr>
          <w:rFonts w:ascii="宋体" w:hAnsi="宋体" w:eastAsia="宋体"/>
          <w:color w:val="000000" w:themeColor="text1"/>
          <w14:textFill>
            <w14:solidFill>
              <w14:schemeClr w14:val="tx1"/>
            </w14:solidFill>
          </w14:textFill>
        </w:rPr>
      </w:pPr>
    </w:p>
    <w:p w14:paraId="72A38A68">
      <w:pPr>
        <w:adjustRightInd w:val="0"/>
        <w:snapToGrid w:val="0"/>
        <w:spacing w:before="156" w:beforeLines="50" w:line="360" w:lineRule="auto"/>
        <w:rPr>
          <w:rFonts w:ascii="宋体" w:hAnsi="宋体" w:eastAsia="宋体"/>
          <w:color w:val="000000" w:themeColor="text1"/>
          <w14:textFill>
            <w14:solidFill>
              <w14:schemeClr w14:val="tx1"/>
            </w14:solidFill>
          </w14:textFill>
        </w:rPr>
      </w:pPr>
    </w:p>
    <w:p w14:paraId="385D3598">
      <w:pPr>
        <w:spacing w:line="312" w:lineRule="auto"/>
        <w:rPr>
          <w:rFonts w:ascii="宋体" w:hAnsi="宋体" w:eastAsia="宋体"/>
        </w:rPr>
      </w:pPr>
    </w:p>
    <w:p w14:paraId="0B3189FA">
      <w:pPr>
        <w:spacing w:line="312" w:lineRule="auto"/>
        <w:rPr>
          <w:rFonts w:ascii="宋体" w:hAnsi="宋体" w:eastAsia="宋体"/>
        </w:rPr>
      </w:pPr>
    </w:p>
    <w:p w14:paraId="6CDA1CE3">
      <w:pPr>
        <w:spacing w:line="312" w:lineRule="auto"/>
        <w:rPr>
          <w:rFonts w:ascii="宋体" w:hAnsi="宋体" w:eastAsia="宋体"/>
        </w:rPr>
      </w:pPr>
    </w:p>
    <w:p w14:paraId="49AC5A33">
      <w:pPr>
        <w:spacing w:line="312" w:lineRule="auto"/>
        <w:rPr>
          <w:rFonts w:ascii="宋体" w:hAnsi="宋体" w:eastAsia="宋体"/>
        </w:rPr>
      </w:pPr>
    </w:p>
    <w:p w14:paraId="62A3F936">
      <w:pPr>
        <w:spacing w:line="312" w:lineRule="auto"/>
        <w:rPr>
          <w:rFonts w:ascii="宋体" w:hAnsi="宋体" w:eastAsia="宋体"/>
        </w:rPr>
      </w:pPr>
    </w:p>
    <w:p w14:paraId="14DF3608">
      <w:pPr>
        <w:spacing w:line="312" w:lineRule="auto"/>
        <w:rPr>
          <w:rFonts w:ascii="宋体" w:hAnsi="宋体" w:eastAsia="宋体"/>
        </w:rPr>
      </w:pPr>
    </w:p>
    <w:p w14:paraId="02CC71EC">
      <w:pPr>
        <w:spacing w:line="312" w:lineRule="auto"/>
        <w:rPr>
          <w:rFonts w:ascii="宋体" w:hAnsi="宋体" w:eastAsia="宋体"/>
        </w:rPr>
      </w:pPr>
    </w:p>
    <w:p w14:paraId="74BD025E">
      <w:pPr>
        <w:spacing w:line="312" w:lineRule="auto"/>
        <w:rPr>
          <w:rFonts w:ascii="宋体" w:hAnsi="宋体" w:eastAsia="宋体"/>
        </w:rPr>
      </w:pPr>
    </w:p>
    <w:p w14:paraId="00778628">
      <w:pPr>
        <w:spacing w:line="312" w:lineRule="auto"/>
        <w:rPr>
          <w:rFonts w:ascii="宋体" w:hAnsi="宋体" w:eastAsia="宋体"/>
        </w:rPr>
      </w:pPr>
    </w:p>
    <w:p w14:paraId="09626A7E">
      <w:pPr>
        <w:spacing w:line="312" w:lineRule="auto"/>
        <w:rPr>
          <w:rFonts w:ascii="宋体" w:hAnsi="宋体" w:eastAsia="宋体"/>
        </w:rPr>
      </w:pPr>
    </w:p>
    <w:p w14:paraId="7ABD9174">
      <w:pPr>
        <w:spacing w:line="312" w:lineRule="auto"/>
        <w:rPr>
          <w:rFonts w:ascii="宋体" w:hAnsi="宋体" w:eastAsia="宋体"/>
        </w:rPr>
      </w:pPr>
    </w:p>
    <w:p w14:paraId="747563FA">
      <w:pPr>
        <w:spacing w:line="312" w:lineRule="auto"/>
        <w:rPr>
          <w:rFonts w:ascii="宋体" w:hAnsi="宋体" w:eastAsia="宋体"/>
        </w:rPr>
      </w:pPr>
    </w:p>
    <w:p w14:paraId="5ED33426">
      <w:pPr>
        <w:spacing w:line="312" w:lineRule="auto"/>
        <w:rPr>
          <w:rFonts w:ascii="宋体" w:hAnsi="宋体" w:eastAsia="宋体"/>
        </w:rPr>
      </w:pPr>
    </w:p>
    <w:p w14:paraId="7AE774F5">
      <w:pPr>
        <w:spacing w:line="312" w:lineRule="auto"/>
        <w:rPr>
          <w:rFonts w:ascii="宋体" w:hAnsi="宋体" w:eastAsia="宋体"/>
          <w:b/>
          <w:sz w:val="28"/>
        </w:rPr>
      </w:pPr>
      <w:r>
        <w:rPr>
          <w:rFonts w:hint="eastAsia" w:ascii="宋体" w:hAnsi="宋体" w:eastAsia="宋体"/>
          <w:b/>
          <w:sz w:val="28"/>
        </w:rPr>
        <w:t>格式11</w:t>
      </w:r>
    </w:p>
    <w:p w14:paraId="791927C9">
      <w:pPr>
        <w:pStyle w:val="11"/>
        <w:tabs>
          <w:tab w:val="left" w:pos="709"/>
        </w:tabs>
        <w:snapToGrid w:val="0"/>
        <w:spacing w:before="124" w:beforeLines="40" w:after="312" w:afterLines="100"/>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合同条款响应一览表</w:t>
      </w:r>
    </w:p>
    <w:p w14:paraId="22EF13E4">
      <w:pPr>
        <w:widowControl/>
        <w:wordWrap w:val="0"/>
        <w:spacing w:line="360" w:lineRule="auto"/>
        <w:jc w:val="left"/>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bCs/>
          <w:color w:val="000000" w:themeColor="text1"/>
          <w:szCs w:val="20"/>
          <w14:textFill>
            <w14:solidFill>
              <w14:schemeClr w14:val="tx1"/>
            </w14:solidFill>
          </w14:textFill>
        </w:rPr>
        <w:t>项目名称：</w:t>
      </w:r>
      <w:r>
        <w:rPr>
          <w:rFonts w:hint="eastAsia" w:ascii="宋体" w:hAnsi="宋体" w:eastAsia="宋体"/>
          <w:color w:val="000000" w:themeColor="text1"/>
          <w:lang w:eastAsia="zh-CN"/>
          <w14:textFill>
            <w14:solidFill>
              <w14:schemeClr w14:val="tx1"/>
            </w14:solidFill>
          </w14:textFill>
        </w:rPr>
        <w:t>郁南县桂圩镇初级中学2025-2026学年食堂食品采购项目</w:t>
      </w:r>
      <w:r>
        <w:rPr>
          <w:rFonts w:hint="eastAsia" w:ascii="宋体" w:hAnsi="宋体" w:eastAsia="宋体"/>
          <w:color w:val="000000" w:themeColor="text1"/>
          <w14:textFill>
            <w14:solidFill>
              <w14:schemeClr w14:val="tx1"/>
            </w14:solidFill>
          </w14:textFill>
        </w:rPr>
        <w:t xml:space="preserve">     项目编号：</w:t>
      </w:r>
      <w:r>
        <w:rPr>
          <w:rFonts w:hint="eastAsia" w:ascii="宋体" w:hAnsi="宋体" w:eastAsia="宋体" w:cs="宋体"/>
          <w:color w:val="000000" w:themeColor="text1"/>
          <w:szCs w:val="21"/>
          <w:lang w:eastAsia="zh-CN"/>
          <w14:textFill>
            <w14:solidFill>
              <w14:schemeClr w14:val="tx1"/>
            </w14:solidFill>
          </w14:textFill>
        </w:rPr>
        <w:t>GDCF-YN-CG-20250802</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1"/>
        <w:gridCol w:w="3545"/>
        <w:gridCol w:w="2451"/>
        <w:gridCol w:w="2946"/>
      </w:tblGrid>
      <w:tr w14:paraId="07129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416" w:type="pct"/>
            <w:tcBorders>
              <w:top w:val="single" w:color="auto" w:sz="12" w:space="0"/>
              <w:bottom w:val="single" w:color="auto" w:sz="6" w:space="0"/>
            </w:tcBorders>
            <w:shd w:val="clear" w:color="auto" w:fill="auto"/>
            <w:noWrap/>
            <w:vAlign w:val="center"/>
          </w:tcPr>
          <w:p w14:paraId="40F125C1">
            <w:pPr>
              <w:spacing w:line="40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1844" w:type="pct"/>
            <w:tcBorders>
              <w:top w:val="single" w:color="auto" w:sz="12" w:space="0"/>
              <w:bottom w:val="single" w:color="auto" w:sz="6" w:space="0"/>
            </w:tcBorders>
            <w:shd w:val="clear" w:color="auto" w:fill="auto"/>
            <w:noWrap/>
            <w:vAlign w:val="center"/>
          </w:tcPr>
          <w:p w14:paraId="05A15B76">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竞争性磋商文件中合同原条款描述</w:t>
            </w:r>
          </w:p>
        </w:tc>
        <w:tc>
          <w:tcPr>
            <w:tcW w:w="1281" w:type="pct"/>
            <w:tcBorders>
              <w:top w:val="single" w:color="auto" w:sz="12" w:space="0"/>
              <w:bottom w:val="single" w:color="auto" w:sz="6" w:space="0"/>
            </w:tcBorders>
            <w:shd w:val="clear" w:color="auto" w:fill="auto"/>
            <w:noWrap/>
            <w:vAlign w:val="center"/>
          </w:tcPr>
          <w:p w14:paraId="703927C8">
            <w:pPr>
              <w:jc w:val="center"/>
              <w:rPr>
                <w:rFonts w:ascii="宋体" w:hAnsi="宋体" w:eastAsia="宋体"/>
                <w:color w:val="000000" w:themeColor="text1"/>
                <w14:textFill>
                  <w14:solidFill>
                    <w14:schemeClr w14:val="tx1"/>
                  </w14:solidFill>
                </w14:textFill>
              </w:rPr>
            </w:pPr>
            <w:r>
              <w:rPr>
                <w:rFonts w:hint="eastAsia" w:ascii="宋体" w:hAnsi="宋体" w:eastAsia="宋体"/>
              </w:rPr>
              <w:t>供应商</w:t>
            </w:r>
            <w:r>
              <w:rPr>
                <w:rFonts w:hint="eastAsia" w:ascii="宋体" w:hAnsi="宋体" w:eastAsia="宋体"/>
                <w:color w:val="000000" w:themeColor="text1"/>
                <w14:textFill>
                  <w14:solidFill>
                    <w14:schemeClr w14:val="tx1"/>
                  </w14:solidFill>
                </w14:textFill>
              </w:rPr>
              <w:t>响应描述</w:t>
            </w:r>
          </w:p>
        </w:tc>
        <w:tc>
          <w:tcPr>
            <w:tcW w:w="1459" w:type="pct"/>
            <w:tcBorders>
              <w:top w:val="single" w:color="auto" w:sz="12" w:space="0"/>
              <w:bottom w:val="single" w:color="auto" w:sz="6" w:space="0"/>
            </w:tcBorders>
            <w:shd w:val="clear" w:color="auto" w:fill="auto"/>
            <w:noWrap/>
            <w:vAlign w:val="center"/>
          </w:tcPr>
          <w:p w14:paraId="2FD2C661">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偏离情况说明</w:t>
            </w:r>
          </w:p>
          <w:p w14:paraId="5233400C">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（正偏离/完全响应/负偏离）</w:t>
            </w:r>
          </w:p>
        </w:tc>
      </w:tr>
      <w:tr w14:paraId="08C23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16" w:type="pct"/>
            <w:tcBorders>
              <w:top w:val="single" w:color="auto" w:sz="6" w:space="0"/>
            </w:tcBorders>
            <w:noWrap/>
            <w:vAlign w:val="center"/>
          </w:tcPr>
          <w:p w14:paraId="22EE0867">
            <w:pPr>
              <w:numPr>
                <w:ilvl w:val="0"/>
                <w:numId w:val="6"/>
              </w:numPr>
              <w:spacing w:line="400" w:lineRule="exact"/>
              <w:jc w:val="center"/>
              <w:rPr>
                <w:rFonts w:ascii="宋体" w:hAnsi="宋体" w:eastAsia="宋体"/>
                <w:color w:val="000000" w:themeColor="text1"/>
                <w:szCs w:val="21"/>
                <w14:textFill>
                  <w14:solidFill>
                    <w14:schemeClr w14:val="tx1"/>
                  </w14:solidFill>
                </w14:textFill>
              </w:rPr>
            </w:pPr>
          </w:p>
        </w:tc>
        <w:tc>
          <w:tcPr>
            <w:tcW w:w="1844" w:type="pct"/>
            <w:tcBorders>
              <w:top w:val="single" w:color="auto" w:sz="6" w:space="0"/>
            </w:tcBorders>
            <w:noWrap/>
            <w:vAlign w:val="center"/>
          </w:tcPr>
          <w:p w14:paraId="7E120366">
            <w:pPr>
              <w:pStyle w:val="19"/>
              <w:tabs>
                <w:tab w:val="left" w:pos="2340"/>
              </w:tabs>
              <w:rPr>
                <w:rFonts w:ascii="宋体" w:hAnsi="宋体"/>
                <w:color w:val="000000" w:themeColor="text1"/>
                <w14:textFill>
                  <w14:solidFill>
                    <w14:schemeClr w14:val="tx1"/>
                  </w14:solidFill>
                </w14:textFill>
              </w:rPr>
            </w:pPr>
          </w:p>
        </w:tc>
        <w:tc>
          <w:tcPr>
            <w:tcW w:w="1281" w:type="pct"/>
            <w:tcBorders>
              <w:top w:val="single" w:color="auto" w:sz="6" w:space="0"/>
            </w:tcBorders>
            <w:noWrap/>
            <w:vAlign w:val="center"/>
          </w:tcPr>
          <w:p w14:paraId="45CEC818">
            <w:pPr>
              <w:spacing w:line="400" w:lineRule="exact"/>
              <w:jc w:val="center"/>
              <w:rPr>
                <w:rFonts w:ascii="宋体" w:hAnsi="宋体" w:eastAsia="宋体"/>
                <w:color w:val="000000" w:themeColor="text1"/>
                <w14:textFill>
                  <w14:solidFill>
                    <w14:schemeClr w14:val="tx1"/>
                  </w14:solidFill>
                </w14:textFill>
              </w:rPr>
            </w:pPr>
          </w:p>
        </w:tc>
        <w:tc>
          <w:tcPr>
            <w:tcW w:w="1459" w:type="pct"/>
            <w:tcBorders>
              <w:top w:val="single" w:color="auto" w:sz="6" w:space="0"/>
            </w:tcBorders>
            <w:noWrap/>
            <w:vAlign w:val="center"/>
          </w:tcPr>
          <w:p w14:paraId="08C8A4B6">
            <w:pPr>
              <w:spacing w:line="400" w:lineRule="exact"/>
              <w:jc w:val="center"/>
              <w:rPr>
                <w:rFonts w:ascii="宋体" w:hAnsi="宋体" w:eastAsia="宋体"/>
                <w:color w:val="000000" w:themeColor="text1"/>
                <w14:textFill>
                  <w14:solidFill>
                    <w14:schemeClr w14:val="tx1"/>
                  </w14:solidFill>
                </w14:textFill>
              </w:rPr>
            </w:pPr>
          </w:p>
        </w:tc>
      </w:tr>
      <w:tr w14:paraId="17A43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16" w:type="pct"/>
            <w:noWrap/>
            <w:vAlign w:val="center"/>
          </w:tcPr>
          <w:p w14:paraId="73A1D1D9">
            <w:pPr>
              <w:numPr>
                <w:ilvl w:val="0"/>
                <w:numId w:val="6"/>
              </w:numPr>
              <w:spacing w:line="400" w:lineRule="exact"/>
              <w:jc w:val="center"/>
              <w:rPr>
                <w:rFonts w:ascii="宋体" w:hAnsi="宋体" w:eastAsia="宋体"/>
                <w:color w:val="000000" w:themeColor="text1"/>
                <w:szCs w:val="21"/>
                <w14:textFill>
                  <w14:solidFill>
                    <w14:schemeClr w14:val="tx1"/>
                  </w14:solidFill>
                </w14:textFill>
              </w:rPr>
            </w:pPr>
          </w:p>
        </w:tc>
        <w:tc>
          <w:tcPr>
            <w:tcW w:w="1844" w:type="pct"/>
            <w:noWrap/>
            <w:vAlign w:val="center"/>
          </w:tcPr>
          <w:p w14:paraId="6BD3320A">
            <w:pPr>
              <w:rPr>
                <w:rFonts w:ascii="宋体" w:hAnsi="宋体" w:eastAsia="宋体"/>
                <w:snapToGrid w:val="0"/>
                <w:color w:val="000000" w:themeColor="text1"/>
                <w:kern w:val="0"/>
                <w:szCs w:val="21"/>
                <w14:textFill>
                  <w14:solidFill>
                    <w14:schemeClr w14:val="tx1"/>
                  </w14:solidFill>
                </w14:textFill>
              </w:rPr>
            </w:pPr>
          </w:p>
        </w:tc>
        <w:tc>
          <w:tcPr>
            <w:tcW w:w="1281" w:type="pct"/>
            <w:noWrap/>
            <w:vAlign w:val="center"/>
          </w:tcPr>
          <w:p w14:paraId="55A97A93">
            <w:pPr>
              <w:spacing w:line="400" w:lineRule="exact"/>
              <w:jc w:val="center"/>
              <w:rPr>
                <w:rFonts w:ascii="宋体" w:hAnsi="宋体" w:eastAsia="宋体"/>
                <w:color w:val="000000" w:themeColor="text1"/>
                <w14:textFill>
                  <w14:solidFill>
                    <w14:schemeClr w14:val="tx1"/>
                  </w14:solidFill>
                </w14:textFill>
              </w:rPr>
            </w:pPr>
          </w:p>
        </w:tc>
        <w:tc>
          <w:tcPr>
            <w:tcW w:w="1459" w:type="pct"/>
            <w:noWrap/>
            <w:vAlign w:val="center"/>
          </w:tcPr>
          <w:p w14:paraId="067580C7">
            <w:pPr>
              <w:spacing w:line="400" w:lineRule="exact"/>
              <w:jc w:val="center"/>
              <w:rPr>
                <w:rFonts w:ascii="宋体" w:hAnsi="宋体" w:eastAsia="宋体"/>
                <w:color w:val="000000" w:themeColor="text1"/>
                <w14:textFill>
                  <w14:solidFill>
                    <w14:schemeClr w14:val="tx1"/>
                  </w14:solidFill>
                </w14:textFill>
              </w:rPr>
            </w:pPr>
          </w:p>
        </w:tc>
      </w:tr>
      <w:tr w14:paraId="09443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16" w:type="pct"/>
            <w:noWrap/>
            <w:vAlign w:val="center"/>
          </w:tcPr>
          <w:p w14:paraId="7AEF7FB0">
            <w:pPr>
              <w:numPr>
                <w:ilvl w:val="0"/>
                <w:numId w:val="6"/>
              </w:numPr>
              <w:spacing w:line="400" w:lineRule="exact"/>
              <w:jc w:val="center"/>
              <w:rPr>
                <w:rFonts w:ascii="宋体" w:hAnsi="宋体" w:eastAsia="宋体"/>
                <w:color w:val="000000" w:themeColor="text1"/>
                <w:szCs w:val="21"/>
                <w14:textFill>
                  <w14:solidFill>
                    <w14:schemeClr w14:val="tx1"/>
                  </w14:solidFill>
                </w14:textFill>
              </w:rPr>
            </w:pPr>
          </w:p>
        </w:tc>
        <w:tc>
          <w:tcPr>
            <w:tcW w:w="1844" w:type="pct"/>
            <w:noWrap/>
            <w:vAlign w:val="center"/>
          </w:tcPr>
          <w:p w14:paraId="5FA98C9F">
            <w:pPr>
              <w:rPr>
                <w:rFonts w:ascii="宋体" w:hAnsi="宋体" w:eastAsia="宋体"/>
                <w:snapToGrid w:val="0"/>
                <w:color w:val="000000" w:themeColor="text1"/>
                <w:kern w:val="0"/>
                <w:szCs w:val="21"/>
                <w14:textFill>
                  <w14:solidFill>
                    <w14:schemeClr w14:val="tx1"/>
                  </w14:solidFill>
                </w14:textFill>
              </w:rPr>
            </w:pPr>
          </w:p>
        </w:tc>
        <w:tc>
          <w:tcPr>
            <w:tcW w:w="1281" w:type="pct"/>
            <w:noWrap/>
            <w:vAlign w:val="center"/>
          </w:tcPr>
          <w:p w14:paraId="554CA2EE">
            <w:pPr>
              <w:spacing w:line="400" w:lineRule="exact"/>
              <w:jc w:val="center"/>
              <w:rPr>
                <w:rFonts w:ascii="宋体" w:hAnsi="宋体" w:eastAsia="宋体"/>
                <w:color w:val="000000" w:themeColor="text1"/>
                <w14:textFill>
                  <w14:solidFill>
                    <w14:schemeClr w14:val="tx1"/>
                  </w14:solidFill>
                </w14:textFill>
              </w:rPr>
            </w:pPr>
          </w:p>
        </w:tc>
        <w:tc>
          <w:tcPr>
            <w:tcW w:w="1459" w:type="pct"/>
            <w:noWrap/>
            <w:vAlign w:val="center"/>
          </w:tcPr>
          <w:p w14:paraId="1039B8D4">
            <w:pPr>
              <w:spacing w:line="400" w:lineRule="exact"/>
              <w:jc w:val="center"/>
              <w:rPr>
                <w:rFonts w:ascii="宋体" w:hAnsi="宋体" w:eastAsia="宋体"/>
                <w:color w:val="000000" w:themeColor="text1"/>
                <w14:textFill>
                  <w14:solidFill>
                    <w14:schemeClr w14:val="tx1"/>
                  </w14:solidFill>
                </w14:textFill>
              </w:rPr>
            </w:pPr>
          </w:p>
        </w:tc>
      </w:tr>
      <w:tr w14:paraId="71256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16" w:type="pct"/>
            <w:noWrap/>
            <w:vAlign w:val="center"/>
          </w:tcPr>
          <w:p w14:paraId="32551967">
            <w:pPr>
              <w:spacing w:line="400" w:lineRule="exac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844" w:type="pct"/>
            <w:noWrap/>
            <w:vAlign w:val="center"/>
          </w:tcPr>
          <w:p w14:paraId="3A736354">
            <w:pPr>
              <w:rPr>
                <w:rFonts w:ascii="宋体" w:hAnsi="宋体" w:eastAsia="宋体"/>
                <w:snapToGrid w:val="0"/>
                <w:color w:val="000000" w:themeColor="text1"/>
                <w:kern w:val="0"/>
                <w:szCs w:val="21"/>
                <w14:textFill>
                  <w14:solidFill>
                    <w14:schemeClr w14:val="tx1"/>
                  </w14:solidFill>
                </w14:textFill>
              </w:rPr>
            </w:pPr>
          </w:p>
        </w:tc>
        <w:tc>
          <w:tcPr>
            <w:tcW w:w="1281" w:type="pct"/>
            <w:noWrap/>
            <w:vAlign w:val="center"/>
          </w:tcPr>
          <w:p w14:paraId="1996420F">
            <w:pPr>
              <w:spacing w:line="400" w:lineRule="exact"/>
              <w:jc w:val="center"/>
              <w:rPr>
                <w:rFonts w:ascii="宋体" w:hAnsi="宋体" w:eastAsia="宋体"/>
                <w:color w:val="000000" w:themeColor="text1"/>
                <w14:textFill>
                  <w14:solidFill>
                    <w14:schemeClr w14:val="tx1"/>
                  </w14:solidFill>
                </w14:textFill>
              </w:rPr>
            </w:pPr>
          </w:p>
        </w:tc>
        <w:tc>
          <w:tcPr>
            <w:tcW w:w="1459" w:type="pct"/>
            <w:noWrap/>
            <w:vAlign w:val="center"/>
          </w:tcPr>
          <w:p w14:paraId="0BA21430">
            <w:pPr>
              <w:spacing w:line="400" w:lineRule="exact"/>
              <w:jc w:val="center"/>
              <w:rPr>
                <w:rFonts w:ascii="宋体" w:hAnsi="宋体" w:eastAsia="宋体"/>
                <w:color w:val="000000" w:themeColor="text1"/>
                <w14:textFill>
                  <w14:solidFill>
                    <w14:schemeClr w14:val="tx1"/>
                  </w14:solidFill>
                </w14:textFill>
              </w:rPr>
            </w:pPr>
          </w:p>
        </w:tc>
      </w:tr>
    </w:tbl>
    <w:p w14:paraId="43C440DB">
      <w:pPr>
        <w:spacing w:line="360" w:lineRule="auto"/>
        <w:ind w:left="588" w:leftChars="150" w:hanging="273" w:hangingChars="13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说明：投标人必须对应竞争性磋商文件的合同条款应答并按要求填写。</w:t>
      </w:r>
    </w:p>
    <w:p w14:paraId="61B2A40E">
      <w:pPr>
        <w:spacing w:line="500" w:lineRule="exact"/>
        <w:rPr>
          <w:rFonts w:ascii="宋体" w:hAnsi="宋体" w:eastAsia="宋体"/>
          <w:color w:val="000000" w:themeColor="text1"/>
          <w:spacing w:val="4"/>
          <w14:textFill>
            <w14:solidFill>
              <w14:schemeClr w14:val="tx1"/>
            </w14:solidFill>
          </w14:textFill>
        </w:rPr>
      </w:pPr>
    </w:p>
    <w:p w14:paraId="2608BD26">
      <w:pPr>
        <w:adjustRightInd w:val="0"/>
        <w:snapToGrid w:val="0"/>
        <w:spacing w:before="156" w:beforeLines="50" w:line="360" w:lineRule="auto"/>
        <w:rPr>
          <w:rFonts w:ascii="宋体" w:hAnsi="宋体" w:eastAsia="宋体"/>
          <w:color w:val="000000" w:themeColor="text1"/>
          <w:u w:val="single"/>
          <w14:textFill>
            <w14:solidFill>
              <w14:schemeClr w14:val="tx1"/>
            </w14:solidFill>
          </w14:textFill>
        </w:rPr>
      </w:pPr>
      <w:r>
        <w:rPr>
          <w:rFonts w:hint="eastAsia" w:ascii="宋体" w:hAnsi="宋体" w:eastAsia="宋体"/>
        </w:rPr>
        <w:t>供应商</w:t>
      </w:r>
      <w:r>
        <w:rPr>
          <w:rFonts w:hint="eastAsia" w:ascii="宋体" w:hAnsi="宋体" w:eastAsia="宋体"/>
          <w:color w:val="000000" w:themeColor="text1"/>
          <w:spacing w:val="4"/>
          <w14:textFill>
            <w14:solidFill>
              <w14:schemeClr w14:val="tx1"/>
            </w14:solidFill>
          </w14:textFill>
        </w:rPr>
        <w:t>名称</w:t>
      </w:r>
      <w:r>
        <w:rPr>
          <w:rFonts w:hint="eastAsia" w:ascii="宋体" w:hAnsi="宋体" w:eastAsia="宋体" w:cs="宋体"/>
          <w:color w:val="000000" w:themeColor="text1"/>
          <w:szCs w:val="21"/>
          <w14:textFill>
            <w14:solidFill>
              <w14:schemeClr w14:val="tx1"/>
            </w14:solidFill>
          </w14:textFill>
        </w:rPr>
        <w:t>（盖公章）</w:t>
      </w:r>
      <w:r>
        <w:rPr>
          <w:rFonts w:hint="eastAsia" w:ascii="宋体" w:hAnsi="宋体" w:eastAsia="宋体"/>
          <w:color w:val="000000" w:themeColor="text1"/>
          <w:spacing w:val="4"/>
          <w14:textFill>
            <w14:solidFill>
              <w14:schemeClr w14:val="tx1"/>
            </w14:solidFill>
          </w14:textFill>
        </w:rPr>
        <w:t>：</w:t>
      </w:r>
    </w:p>
    <w:p w14:paraId="4083A46A">
      <w:pPr>
        <w:adjustRightInd w:val="0"/>
        <w:snapToGrid w:val="0"/>
        <w:spacing w:before="156" w:beforeLines="50" w:line="360" w:lineRule="auto"/>
        <w:rPr>
          <w:rFonts w:ascii="宋体" w:hAnsi="宋体" w:eastAsia="宋体"/>
          <w:color w:val="000000" w:themeColor="text1"/>
          <w:spacing w:val="4"/>
          <w:u w:val="single"/>
          <w14:textFill>
            <w14:solidFill>
              <w14:schemeClr w14:val="tx1"/>
            </w14:solidFill>
          </w14:textFill>
        </w:rPr>
      </w:pPr>
      <w:r>
        <w:rPr>
          <w:rFonts w:hint="eastAsia" w:ascii="宋体" w:hAnsi="宋体" w:eastAsia="宋体"/>
          <w:color w:val="000000" w:themeColor="text1"/>
          <w:spacing w:val="4"/>
          <w14:textFill>
            <w14:solidFill>
              <w14:schemeClr w14:val="tx1"/>
            </w14:solidFill>
          </w14:textFill>
        </w:rPr>
        <w:t>法定代表人或</w:t>
      </w:r>
      <w:r>
        <w:rPr>
          <w:rFonts w:hint="eastAsia" w:ascii="宋体" w:hAnsi="宋体" w:eastAsia="宋体"/>
        </w:rPr>
        <w:t>供应商</w:t>
      </w:r>
      <w:r>
        <w:rPr>
          <w:rFonts w:hint="eastAsia" w:ascii="宋体" w:hAnsi="宋体" w:eastAsia="宋体"/>
          <w:color w:val="000000" w:themeColor="text1"/>
          <w:spacing w:val="4"/>
          <w14:textFill>
            <w14:solidFill>
              <w14:schemeClr w14:val="tx1"/>
            </w14:solidFill>
          </w14:textFill>
        </w:rPr>
        <w:t>授权代表</w:t>
      </w:r>
      <w:r>
        <w:rPr>
          <w:rFonts w:hint="eastAsia" w:ascii="宋体" w:hAnsi="宋体" w:eastAsia="宋体"/>
          <w:color w:val="000000" w:themeColor="text1"/>
          <w14:textFill>
            <w14:solidFill>
              <w14:schemeClr w14:val="tx1"/>
            </w14:solidFill>
          </w14:textFill>
        </w:rPr>
        <w:t>（签名或盖章）：</w:t>
      </w:r>
    </w:p>
    <w:p w14:paraId="53E5EDE7">
      <w:pPr>
        <w:adjustRightInd w:val="0"/>
        <w:snapToGrid w:val="0"/>
        <w:spacing w:before="156" w:beforeLines="5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日期：</w:t>
      </w:r>
    </w:p>
    <w:p w14:paraId="1F5A309D">
      <w:pPr>
        <w:spacing w:line="312" w:lineRule="auto"/>
        <w:rPr>
          <w:rFonts w:ascii="宋体" w:hAnsi="宋体" w:eastAsia="宋体"/>
        </w:rPr>
      </w:pPr>
    </w:p>
    <w:p w14:paraId="6E552ED8">
      <w:pPr>
        <w:spacing w:line="312" w:lineRule="auto"/>
        <w:rPr>
          <w:rFonts w:ascii="宋体" w:hAnsi="宋体" w:eastAsia="宋体"/>
        </w:rPr>
      </w:pPr>
    </w:p>
    <w:p w14:paraId="2CAB17FE">
      <w:pPr>
        <w:spacing w:line="312" w:lineRule="auto"/>
        <w:rPr>
          <w:rFonts w:ascii="宋体" w:hAnsi="宋体" w:eastAsia="宋体"/>
        </w:rPr>
      </w:pPr>
    </w:p>
    <w:p w14:paraId="5865E487">
      <w:pPr>
        <w:spacing w:line="312" w:lineRule="auto"/>
        <w:rPr>
          <w:rFonts w:ascii="宋体" w:hAnsi="宋体" w:eastAsia="宋体"/>
        </w:rPr>
      </w:pPr>
    </w:p>
    <w:p w14:paraId="0C77EDDD">
      <w:pPr>
        <w:spacing w:line="312" w:lineRule="auto"/>
        <w:rPr>
          <w:rFonts w:ascii="宋体" w:hAnsi="宋体" w:eastAsia="宋体"/>
        </w:rPr>
      </w:pPr>
    </w:p>
    <w:p w14:paraId="2DC25B9E">
      <w:pPr>
        <w:spacing w:line="312" w:lineRule="auto"/>
        <w:rPr>
          <w:rFonts w:ascii="宋体" w:hAnsi="宋体" w:eastAsia="宋体"/>
        </w:rPr>
      </w:pPr>
    </w:p>
    <w:p w14:paraId="6F74244D">
      <w:pPr>
        <w:spacing w:line="312" w:lineRule="auto"/>
        <w:rPr>
          <w:rFonts w:ascii="宋体" w:hAnsi="宋体" w:eastAsia="宋体"/>
        </w:rPr>
      </w:pPr>
    </w:p>
    <w:p w14:paraId="0714532B">
      <w:pPr>
        <w:spacing w:line="312" w:lineRule="auto"/>
        <w:rPr>
          <w:rFonts w:ascii="宋体" w:hAnsi="宋体" w:eastAsia="宋体"/>
        </w:rPr>
      </w:pPr>
    </w:p>
    <w:p w14:paraId="2D1FA305">
      <w:pPr>
        <w:spacing w:line="312" w:lineRule="auto"/>
        <w:rPr>
          <w:rFonts w:ascii="宋体" w:hAnsi="宋体" w:eastAsia="宋体"/>
        </w:rPr>
      </w:pPr>
    </w:p>
    <w:p w14:paraId="63E487BF">
      <w:pPr>
        <w:spacing w:line="312" w:lineRule="auto"/>
        <w:rPr>
          <w:rFonts w:ascii="宋体" w:hAnsi="宋体" w:eastAsia="宋体"/>
        </w:rPr>
      </w:pPr>
    </w:p>
    <w:p w14:paraId="20623721">
      <w:pPr>
        <w:spacing w:line="312" w:lineRule="auto"/>
        <w:rPr>
          <w:rFonts w:ascii="宋体" w:hAnsi="宋体" w:eastAsia="宋体"/>
        </w:rPr>
      </w:pPr>
    </w:p>
    <w:p w14:paraId="7AC8ADBC">
      <w:pPr>
        <w:spacing w:line="312" w:lineRule="auto"/>
        <w:rPr>
          <w:rFonts w:ascii="宋体" w:hAnsi="宋体" w:eastAsia="宋体"/>
        </w:rPr>
      </w:pPr>
    </w:p>
    <w:p w14:paraId="4FD74524">
      <w:pPr>
        <w:spacing w:line="312" w:lineRule="auto"/>
        <w:rPr>
          <w:rFonts w:ascii="宋体" w:hAnsi="宋体" w:eastAsia="宋体"/>
        </w:rPr>
      </w:pPr>
    </w:p>
    <w:p w14:paraId="058BD632">
      <w:pPr>
        <w:spacing w:line="312" w:lineRule="auto"/>
        <w:rPr>
          <w:rFonts w:ascii="宋体" w:hAnsi="宋体" w:eastAsia="宋体"/>
        </w:rPr>
      </w:pPr>
    </w:p>
    <w:p w14:paraId="7316777F">
      <w:pPr>
        <w:spacing w:line="312" w:lineRule="auto"/>
        <w:rPr>
          <w:rFonts w:ascii="宋体" w:hAnsi="宋体" w:eastAsia="宋体"/>
        </w:rPr>
      </w:pPr>
    </w:p>
    <w:p w14:paraId="39347094">
      <w:pPr>
        <w:spacing w:line="312" w:lineRule="auto"/>
        <w:rPr>
          <w:rFonts w:ascii="宋体" w:hAnsi="宋体" w:eastAsia="宋体"/>
          <w:b/>
          <w:sz w:val="28"/>
        </w:rPr>
      </w:pPr>
      <w:r>
        <w:rPr>
          <w:rFonts w:hint="eastAsia" w:ascii="宋体" w:hAnsi="宋体" w:eastAsia="宋体"/>
          <w:b/>
          <w:sz w:val="28"/>
        </w:rPr>
        <w:t>格式12</w:t>
      </w:r>
    </w:p>
    <w:p w14:paraId="2F308696">
      <w:pPr>
        <w:spacing w:line="312" w:lineRule="auto"/>
        <w:jc w:val="center"/>
        <w:rPr>
          <w:rFonts w:ascii="宋体" w:hAnsi="宋体" w:eastAsia="宋体"/>
          <w:b/>
          <w:sz w:val="28"/>
        </w:rPr>
      </w:pPr>
      <w:r>
        <w:rPr>
          <w:rFonts w:hint="eastAsia" w:ascii="宋体" w:hAnsi="宋体" w:eastAsia="宋体"/>
          <w:b/>
          <w:sz w:val="28"/>
        </w:rPr>
        <w:t>招标代理服务费承诺书</w:t>
      </w:r>
    </w:p>
    <w:p w14:paraId="61A204E4">
      <w:pPr>
        <w:spacing w:line="312" w:lineRule="auto"/>
        <w:rPr>
          <w:rFonts w:ascii="宋体" w:hAnsi="宋体" w:eastAsia="宋体"/>
        </w:rPr>
      </w:pPr>
    </w:p>
    <w:p w14:paraId="07A06D75">
      <w:pPr>
        <w:spacing w:line="312" w:lineRule="auto"/>
        <w:rPr>
          <w:rFonts w:ascii="宋体" w:hAnsi="宋体" w:eastAsia="宋体"/>
        </w:rPr>
      </w:pPr>
      <w:r>
        <w:rPr>
          <w:rFonts w:hint="eastAsia" w:ascii="宋体" w:hAnsi="宋体" w:eastAsia="宋体"/>
        </w:rPr>
        <w:t>广东创富工程管理有限公司、采购人:</w:t>
      </w:r>
    </w:p>
    <w:p w14:paraId="6A0FFC06">
      <w:pPr>
        <w:spacing w:line="312" w:lineRule="auto"/>
        <w:ind w:firstLine="420" w:firstLineChars="200"/>
        <w:rPr>
          <w:rFonts w:ascii="宋体" w:hAnsi="宋体" w:eastAsia="宋体"/>
        </w:rPr>
      </w:pPr>
      <w:r>
        <w:rPr>
          <w:rFonts w:hint="eastAsia" w:ascii="宋体" w:hAnsi="宋体" w:eastAsia="宋体"/>
        </w:rPr>
        <w:t>本公司</w:t>
      </w:r>
      <w:r>
        <w:rPr>
          <w:rFonts w:hint="eastAsia" w:ascii="宋体" w:hAnsi="宋体" w:eastAsia="宋体"/>
          <w:u w:val="single"/>
        </w:rPr>
        <w:t xml:space="preserve">   (投标人名称)   </w:t>
      </w:r>
      <w:r>
        <w:rPr>
          <w:rFonts w:hint="eastAsia" w:ascii="宋体" w:hAnsi="宋体" w:eastAsia="宋体"/>
        </w:rPr>
        <w:t>在参加</w:t>
      </w:r>
      <w:r>
        <w:rPr>
          <w:rFonts w:hint="eastAsia" w:ascii="宋体" w:hAnsi="宋体" w:eastAsia="宋体"/>
          <w:u w:val="single"/>
        </w:rPr>
        <w:t xml:space="preserve">   (项目名称)   </w:t>
      </w:r>
      <w:r>
        <w:rPr>
          <w:rFonts w:hint="eastAsia" w:ascii="宋体" w:hAnsi="宋体" w:eastAsia="宋体"/>
        </w:rPr>
        <w:t>(项目编号：</w:t>
      </w:r>
      <w:r>
        <w:rPr>
          <w:rFonts w:hint="eastAsia" w:ascii="宋体" w:hAnsi="宋体" w:eastAsia="宋体"/>
          <w:lang w:eastAsia="zh-CN"/>
        </w:rPr>
        <w:t>GDCF-YN-CG-20250802</w:t>
      </w:r>
      <w:r>
        <w:rPr>
          <w:rFonts w:hint="eastAsia" w:ascii="宋体" w:hAnsi="宋体" w:eastAsia="宋体"/>
        </w:rPr>
        <w:t>)的招标中如获中标，我公司保证按照竞争性磋商文件的规定缴纳“招标代理服务费”后，凭领取人身份证复印件并加盖公章领取《中标通知书》。如采用电汇或银行转账，我公司将同时递交招标代理服务费缴费凭证复印件并加盖公章。</w:t>
      </w:r>
    </w:p>
    <w:p w14:paraId="328CCD45">
      <w:pPr>
        <w:spacing w:line="312" w:lineRule="auto"/>
        <w:ind w:firstLine="420" w:firstLineChars="200"/>
        <w:rPr>
          <w:rFonts w:ascii="宋体" w:hAnsi="宋体" w:eastAsia="宋体"/>
        </w:rPr>
      </w:pPr>
      <w:r>
        <w:rPr>
          <w:rFonts w:hint="eastAsia" w:ascii="宋体" w:hAnsi="宋体" w:eastAsia="宋体"/>
        </w:rPr>
        <w:t>如我公司违反上款承诺，愿承担由此引起的一切法律责任。</w:t>
      </w:r>
    </w:p>
    <w:p w14:paraId="684F1B01">
      <w:pPr>
        <w:spacing w:line="312" w:lineRule="auto"/>
        <w:ind w:firstLine="420" w:firstLineChars="200"/>
        <w:rPr>
          <w:rFonts w:ascii="宋体" w:hAnsi="宋体" w:eastAsia="宋体"/>
        </w:rPr>
      </w:pPr>
      <w:r>
        <w:rPr>
          <w:rFonts w:hint="eastAsia" w:ascii="宋体" w:hAnsi="宋体" w:eastAsia="宋体"/>
        </w:rPr>
        <w:t>特此承诺!</w:t>
      </w:r>
    </w:p>
    <w:p w14:paraId="12F96E9D">
      <w:pPr>
        <w:spacing w:line="312" w:lineRule="auto"/>
        <w:rPr>
          <w:rFonts w:ascii="宋体" w:hAnsi="宋体" w:eastAsia="宋体"/>
        </w:rPr>
      </w:pPr>
    </w:p>
    <w:p w14:paraId="17057190">
      <w:pPr>
        <w:spacing w:line="312" w:lineRule="auto"/>
        <w:rPr>
          <w:rFonts w:ascii="宋体" w:hAnsi="宋体" w:eastAsia="宋体"/>
        </w:rPr>
      </w:pPr>
    </w:p>
    <w:p w14:paraId="2D151EE6">
      <w:pPr>
        <w:spacing w:line="312" w:lineRule="auto"/>
        <w:rPr>
          <w:rFonts w:ascii="宋体" w:hAnsi="宋体" w:eastAsia="宋体"/>
        </w:rPr>
      </w:pPr>
      <w:r>
        <w:rPr>
          <w:rFonts w:hint="eastAsia" w:ascii="宋体" w:hAnsi="宋体" w:eastAsia="宋体"/>
        </w:rPr>
        <w:t>供应商名称(盖公章):</w:t>
      </w:r>
    </w:p>
    <w:p w14:paraId="4DC6D473">
      <w:pPr>
        <w:spacing w:line="312" w:lineRule="auto"/>
        <w:rPr>
          <w:rFonts w:ascii="宋体" w:hAnsi="宋体" w:eastAsia="宋体"/>
        </w:rPr>
      </w:pPr>
      <w:r>
        <w:rPr>
          <w:rFonts w:hint="eastAsia" w:ascii="宋体" w:hAnsi="宋体" w:eastAsia="宋体"/>
        </w:rPr>
        <w:t>投标人地址:</w:t>
      </w:r>
    </w:p>
    <w:p w14:paraId="2D0A6133">
      <w:pPr>
        <w:spacing w:line="312" w:lineRule="auto"/>
        <w:rPr>
          <w:rFonts w:ascii="宋体" w:hAnsi="宋体" w:eastAsia="宋体"/>
        </w:rPr>
      </w:pPr>
      <w:r>
        <w:rPr>
          <w:rFonts w:hint="eastAsia" w:ascii="宋体" w:hAnsi="宋体" w:eastAsia="宋体"/>
        </w:rPr>
        <w:t>电话:</w:t>
      </w:r>
    </w:p>
    <w:p w14:paraId="291B2DC8">
      <w:pPr>
        <w:spacing w:line="312" w:lineRule="auto"/>
        <w:rPr>
          <w:rFonts w:ascii="宋体" w:hAnsi="宋体" w:eastAsia="宋体"/>
        </w:rPr>
      </w:pPr>
      <w:r>
        <w:rPr>
          <w:rFonts w:hint="eastAsia" w:ascii="宋体" w:hAnsi="宋体" w:eastAsia="宋体"/>
        </w:rPr>
        <w:t>传真:</w:t>
      </w:r>
    </w:p>
    <w:p w14:paraId="3EBBD8E7">
      <w:pPr>
        <w:spacing w:line="312" w:lineRule="auto"/>
        <w:rPr>
          <w:rFonts w:ascii="宋体" w:hAnsi="宋体" w:eastAsia="宋体"/>
        </w:rPr>
      </w:pPr>
      <w:r>
        <w:rPr>
          <w:rFonts w:hint="eastAsia" w:ascii="宋体" w:hAnsi="宋体" w:eastAsia="宋体"/>
        </w:rPr>
        <w:t>法定代表人或供应商授权代表（签名或盖章）：</w:t>
      </w:r>
    </w:p>
    <w:p w14:paraId="498A83E9">
      <w:pPr>
        <w:spacing w:line="312" w:lineRule="auto"/>
        <w:rPr>
          <w:rFonts w:ascii="宋体" w:hAnsi="宋体" w:eastAsia="宋体"/>
        </w:rPr>
      </w:pPr>
      <w:r>
        <w:rPr>
          <w:rFonts w:hint="eastAsia" w:ascii="宋体" w:hAnsi="宋体" w:eastAsia="宋体"/>
        </w:rPr>
        <w:t>签署日期:</w:t>
      </w:r>
    </w:p>
    <w:p w14:paraId="2AD103D1">
      <w:pPr>
        <w:spacing w:line="312" w:lineRule="auto"/>
        <w:rPr>
          <w:rFonts w:ascii="宋体" w:hAnsi="宋体" w:eastAsia="宋体"/>
        </w:rPr>
      </w:pPr>
    </w:p>
    <w:p w14:paraId="1C36155C">
      <w:pPr>
        <w:spacing w:line="312" w:lineRule="auto"/>
        <w:rPr>
          <w:rFonts w:ascii="宋体" w:hAnsi="宋体" w:eastAsia="宋体"/>
        </w:rPr>
      </w:pPr>
    </w:p>
    <w:p w14:paraId="1B157B04">
      <w:pPr>
        <w:spacing w:line="312" w:lineRule="auto"/>
        <w:rPr>
          <w:rFonts w:ascii="宋体" w:hAnsi="宋体" w:eastAsia="宋体"/>
        </w:rPr>
      </w:pPr>
    </w:p>
    <w:p w14:paraId="26318BD6">
      <w:pPr>
        <w:spacing w:line="312" w:lineRule="auto"/>
        <w:rPr>
          <w:rFonts w:ascii="宋体" w:hAnsi="宋体" w:eastAsia="宋体"/>
        </w:rPr>
      </w:pPr>
    </w:p>
    <w:p w14:paraId="0709D8AE">
      <w:pPr>
        <w:spacing w:line="312" w:lineRule="auto"/>
        <w:rPr>
          <w:rFonts w:ascii="宋体" w:hAnsi="宋体" w:eastAsia="宋体"/>
        </w:rPr>
      </w:pPr>
    </w:p>
    <w:p w14:paraId="73441565">
      <w:pPr>
        <w:spacing w:line="312" w:lineRule="auto"/>
        <w:rPr>
          <w:rFonts w:ascii="宋体" w:hAnsi="宋体" w:eastAsia="宋体"/>
        </w:rPr>
      </w:pPr>
    </w:p>
    <w:p w14:paraId="2EE4D1CD">
      <w:pPr>
        <w:spacing w:line="312" w:lineRule="auto"/>
        <w:rPr>
          <w:rFonts w:ascii="宋体" w:hAnsi="宋体" w:eastAsia="宋体"/>
        </w:rPr>
      </w:pPr>
    </w:p>
    <w:p w14:paraId="015D84FA">
      <w:pPr>
        <w:spacing w:line="312" w:lineRule="auto"/>
        <w:rPr>
          <w:rFonts w:ascii="宋体" w:hAnsi="宋体" w:eastAsia="宋体"/>
        </w:rPr>
      </w:pPr>
    </w:p>
    <w:p w14:paraId="244AF0C6">
      <w:pPr>
        <w:spacing w:line="312" w:lineRule="auto"/>
        <w:rPr>
          <w:rFonts w:ascii="宋体" w:hAnsi="宋体" w:eastAsia="宋体"/>
        </w:rPr>
      </w:pPr>
    </w:p>
    <w:p w14:paraId="1D909351">
      <w:pPr>
        <w:spacing w:line="312" w:lineRule="auto"/>
        <w:rPr>
          <w:rFonts w:ascii="宋体" w:hAnsi="宋体" w:eastAsia="宋体"/>
        </w:rPr>
      </w:pPr>
    </w:p>
    <w:p w14:paraId="6E0B18C7">
      <w:pPr>
        <w:spacing w:line="312" w:lineRule="auto"/>
        <w:rPr>
          <w:rFonts w:ascii="宋体" w:hAnsi="宋体" w:eastAsia="宋体"/>
        </w:rPr>
      </w:pPr>
    </w:p>
    <w:p w14:paraId="6434C48A">
      <w:pPr>
        <w:spacing w:line="312" w:lineRule="auto"/>
        <w:rPr>
          <w:rFonts w:ascii="宋体" w:hAnsi="宋体" w:eastAsia="宋体"/>
        </w:rPr>
      </w:pPr>
    </w:p>
    <w:p w14:paraId="09A8AD4D">
      <w:pPr>
        <w:spacing w:line="312" w:lineRule="auto"/>
        <w:rPr>
          <w:rFonts w:ascii="宋体" w:hAnsi="宋体" w:eastAsia="宋体"/>
        </w:rPr>
      </w:pPr>
    </w:p>
    <w:p w14:paraId="6E9F0805">
      <w:pPr>
        <w:spacing w:line="312" w:lineRule="auto"/>
        <w:rPr>
          <w:rFonts w:ascii="宋体" w:hAnsi="宋体" w:eastAsia="宋体"/>
        </w:rPr>
      </w:pPr>
    </w:p>
    <w:p w14:paraId="139306A3">
      <w:pPr>
        <w:spacing w:line="312" w:lineRule="auto"/>
        <w:rPr>
          <w:rFonts w:ascii="宋体" w:hAnsi="宋体" w:eastAsia="宋体"/>
        </w:rPr>
      </w:pPr>
    </w:p>
    <w:p w14:paraId="0FBE947B">
      <w:pPr>
        <w:pStyle w:val="2"/>
        <w:rPr>
          <w:rFonts w:ascii="宋体" w:hAnsi="宋体" w:eastAsia="宋体"/>
        </w:rPr>
      </w:pPr>
      <w:bookmarkStart w:id="14" w:name="_Toc152927349"/>
      <w:r>
        <w:rPr>
          <w:rFonts w:hint="eastAsia" w:ascii="宋体" w:hAnsi="宋体" w:eastAsia="宋体"/>
        </w:rPr>
        <w:t>第七章 磋 商 须 知</w:t>
      </w:r>
      <w:bookmarkEnd w:id="14"/>
    </w:p>
    <w:p w14:paraId="1E176757">
      <w:pPr>
        <w:pStyle w:val="3"/>
        <w:rPr>
          <w:rFonts w:ascii="宋体" w:hAnsi="宋体" w:eastAsia="宋体"/>
        </w:rPr>
      </w:pPr>
      <w:bookmarkStart w:id="15" w:name="_Toc152927350"/>
      <w:r>
        <w:rPr>
          <w:rFonts w:hint="eastAsia" w:ascii="宋体" w:hAnsi="宋体" w:eastAsia="宋体"/>
        </w:rPr>
        <w:t>一、说 明</w:t>
      </w:r>
      <w:bookmarkEnd w:id="15"/>
    </w:p>
    <w:p w14:paraId="39E5822F">
      <w:pPr>
        <w:spacing w:line="312" w:lineRule="auto"/>
        <w:rPr>
          <w:rFonts w:ascii="宋体" w:hAnsi="宋体" w:eastAsia="宋体"/>
          <w:b/>
        </w:rPr>
      </w:pPr>
      <w:r>
        <w:rPr>
          <w:rFonts w:ascii="宋体" w:hAnsi="宋体" w:eastAsia="宋体"/>
          <w:b/>
        </w:rPr>
        <w:t>1</w:t>
      </w:r>
      <w:r>
        <w:rPr>
          <w:rFonts w:hint="eastAsia" w:ascii="宋体" w:hAnsi="宋体" w:eastAsia="宋体"/>
          <w:b/>
        </w:rPr>
        <w:t>、适用范围</w:t>
      </w:r>
    </w:p>
    <w:p w14:paraId="34FBB57A">
      <w:pPr>
        <w:spacing w:line="312" w:lineRule="auto"/>
        <w:ind w:firstLine="420" w:firstLineChars="200"/>
        <w:rPr>
          <w:rFonts w:ascii="宋体" w:hAnsi="宋体" w:eastAsia="宋体"/>
        </w:rPr>
      </w:pPr>
      <w:r>
        <w:rPr>
          <w:rFonts w:hint="eastAsia" w:ascii="宋体" w:hAnsi="宋体" w:eastAsia="宋体"/>
        </w:rPr>
        <w:t>1.1本竞争性磋商文件适用于本磋商邀请中所述项目的政府采购。</w:t>
      </w:r>
    </w:p>
    <w:p w14:paraId="3A40A85B">
      <w:pPr>
        <w:spacing w:line="312" w:lineRule="auto"/>
        <w:rPr>
          <w:rFonts w:ascii="宋体" w:hAnsi="宋体" w:eastAsia="宋体"/>
          <w:b/>
        </w:rPr>
      </w:pPr>
      <w:r>
        <w:rPr>
          <w:rFonts w:ascii="宋体" w:hAnsi="宋体" w:eastAsia="宋体"/>
          <w:b/>
        </w:rPr>
        <w:t>2</w:t>
      </w:r>
      <w:r>
        <w:rPr>
          <w:rFonts w:hint="eastAsia" w:ascii="宋体" w:hAnsi="宋体" w:eastAsia="宋体"/>
          <w:b/>
        </w:rPr>
        <w:t>、监管部门及招标采购单位</w:t>
      </w:r>
    </w:p>
    <w:p w14:paraId="48DA7779">
      <w:pPr>
        <w:spacing w:line="312" w:lineRule="auto"/>
        <w:ind w:firstLine="424" w:firstLineChars="202"/>
        <w:rPr>
          <w:rFonts w:ascii="宋体" w:hAnsi="宋体" w:eastAsia="宋体"/>
        </w:rPr>
      </w:pPr>
      <w:r>
        <w:rPr>
          <w:rFonts w:hint="eastAsia" w:ascii="宋体" w:hAnsi="宋体" w:eastAsia="宋体"/>
        </w:rPr>
        <w:t>2.1监管部门指同级人民政府财政部门。</w:t>
      </w:r>
    </w:p>
    <w:p w14:paraId="315EAF8B">
      <w:pPr>
        <w:spacing w:line="312" w:lineRule="auto"/>
        <w:ind w:firstLine="424" w:firstLineChars="202"/>
        <w:rPr>
          <w:rFonts w:ascii="宋体" w:hAnsi="宋体" w:eastAsia="宋体"/>
        </w:rPr>
      </w:pPr>
      <w:r>
        <w:rPr>
          <w:rFonts w:hint="eastAsia" w:ascii="宋体" w:hAnsi="宋体" w:eastAsia="宋体"/>
        </w:rPr>
        <w:t>2.2招标采购单位指采购人及政府采购代理机构。</w:t>
      </w:r>
    </w:p>
    <w:p w14:paraId="542B7D51">
      <w:pPr>
        <w:spacing w:line="312" w:lineRule="auto"/>
        <w:ind w:firstLine="424" w:firstLineChars="202"/>
        <w:rPr>
          <w:rFonts w:ascii="宋体" w:hAnsi="宋体" w:eastAsia="宋体"/>
        </w:rPr>
      </w:pPr>
      <w:r>
        <w:rPr>
          <w:rFonts w:hint="eastAsia" w:ascii="宋体" w:hAnsi="宋体" w:eastAsia="宋体"/>
        </w:rPr>
        <w:t>2.3采购人指依法进行政府采购的国家机关、事业单位和团体组织。本竞争性磋商文件第二章磋商资料表中所述的采购人已拥有一笔财政性资金或资金来源已落实。采购人计划将一部分或全部资金用于支付本次采购后所签订合同项下的款项。</w:t>
      </w:r>
    </w:p>
    <w:p w14:paraId="1BE29DDE">
      <w:pPr>
        <w:spacing w:line="312" w:lineRule="auto"/>
        <w:ind w:firstLine="424" w:firstLineChars="202"/>
        <w:rPr>
          <w:rFonts w:ascii="宋体" w:hAnsi="宋体" w:eastAsia="宋体"/>
        </w:rPr>
      </w:pPr>
      <w:r>
        <w:rPr>
          <w:rFonts w:hint="eastAsia" w:ascii="宋体" w:hAnsi="宋体" w:eastAsia="宋体"/>
        </w:rPr>
        <w:t>2.4政府采购代理机构指按照规定办理注册登记并通过审核的代理机构。本次采购的政府采购代理机构名称、地址、电话和传真见投标资料表。</w:t>
      </w:r>
    </w:p>
    <w:p w14:paraId="72AF7649">
      <w:pPr>
        <w:spacing w:line="312" w:lineRule="auto"/>
        <w:rPr>
          <w:rFonts w:ascii="宋体" w:hAnsi="宋体" w:eastAsia="宋体"/>
          <w:b/>
        </w:rPr>
      </w:pPr>
      <w:r>
        <w:rPr>
          <w:rFonts w:ascii="宋体" w:hAnsi="宋体" w:eastAsia="宋体"/>
          <w:b/>
        </w:rPr>
        <w:t>3</w:t>
      </w:r>
      <w:r>
        <w:rPr>
          <w:rFonts w:hint="eastAsia" w:ascii="宋体" w:hAnsi="宋体" w:eastAsia="宋体"/>
          <w:b/>
        </w:rPr>
        <w:t>、关于响应供应商及成交供应商</w:t>
      </w:r>
    </w:p>
    <w:p w14:paraId="055EC964">
      <w:pPr>
        <w:spacing w:line="312" w:lineRule="auto"/>
        <w:ind w:firstLine="424" w:firstLineChars="202"/>
        <w:rPr>
          <w:rFonts w:ascii="宋体" w:hAnsi="宋体" w:eastAsia="宋体"/>
        </w:rPr>
      </w:pPr>
      <w:r>
        <w:rPr>
          <w:rFonts w:hint="eastAsia" w:ascii="宋体" w:hAnsi="宋体" w:eastAsia="宋体"/>
        </w:rPr>
        <w:t>3.1响应供应商是响应磋商并且符合竞争性磋商文件规定资格条件和参加磋商竞争的法人、其他组织或者自然人。</w:t>
      </w:r>
    </w:p>
    <w:p w14:paraId="18FB32B1">
      <w:pPr>
        <w:spacing w:line="312" w:lineRule="auto"/>
        <w:ind w:firstLine="424" w:firstLineChars="202"/>
        <w:rPr>
          <w:rFonts w:ascii="宋体" w:hAnsi="宋体" w:eastAsia="宋体"/>
        </w:rPr>
      </w:pPr>
      <w:r>
        <w:rPr>
          <w:rFonts w:hint="eastAsia" w:ascii="宋体" w:hAnsi="宋体" w:eastAsia="宋体"/>
        </w:rPr>
        <w:t>3.2合格的响应供应商</w:t>
      </w:r>
    </w:p>
    <w:p w14:paraId="2AC044E1">
      <w:pPr>
        <w:spacing w:line="312" w:lineRule="auto"/>
        <w:ind w:firstLine="424" w:firstLineChars="202"/>
        <w:rPr>
          <w:rFonts w:ascii="宋体" w:hAnsi="宋体" w:eastAsia="宋体"/>
        </w:rPr>
      </w:pPr>
      <w:r>
        <w:rPr>
          <w:rFonts w:hint="eastAsia" w:ascii="宋体" w:hAnsi="宋体" w:eastAsia="宋体"/>
        </w:rPr>
        <w:t>3.2.1 具有独立承担民事责任的能力。</w:t>
      </w:r>
    </w:p>
    <w:p w14:paraId="37CA8A00">
      <w:pPr>
        <w:spacing w:line="312" w:lineRule="auto"/>
        <w:ind w:firstLine="424" w:firstLineChars="202"/>
        <w:rPr>
          <w:rFonts w:ascii="宋体" w:hAnsi="宋体" w:eastAsia="宋体"/>
        </w:rPr>
      </w:pPr>
      <w:r>
        <w:rPr>
          <w:rFonts w:hint="eastAsia" w:ascii="宋体" w:hAnsi="宋体" w:eastAsia="宋体"/>
        </w:rPr>
        <w:t>3.2.2 具有良好的商业信誉和健全的财务会计制度。</w:t>
      </w:r>
    </w:p>
    <w:p w14:paraId="570215B3">
      <w:pPr>
        <w:spacing w:line="312" w:lineRule="auto"/>
        <w:ind w:firstLine="424" w:firstLineChars="202"/>
        <w:rPr>
          <w:rFonts w:ascii="宋体" w:hAnsi="宋体" w:eastAsia="宋体"/>
        </w:rPr>
      </w:pPr>
      <w:r>
        <w:rPr>
          <w:rFonts w:hint="eastAsia" w:ascii="宋体" w:hAnsi="宋体" w:eastAsia="宋体"/>
        </w:rPr>
        <w:t>3.2.3 具有履行合同所必需的设备和专业技术能力。</w:t>
      </w:r>
    </w:p>
    <w:p w14:paraId="5FE42BF5">
      <w:pPr>
        <w:spacing w:line="312" w:lineRule="auto"/>
        <w:ind w:firstLine="424" w:firstLineChars="202"/>
        <w:rPr>
          <w:rFonts w:ascii="宋体" w:hAnsi="宋体" w:eastAsia="宋体"/>
        </w:rPr>
      </w:pPr>
      <w:r>
        <w:rPr>
          <w:rFonts w:hint="eastAsia" w:ascii="宋体" w:hAnsi="宋体" w:eastAsia="宋体"/>
        </w:rPr>
        <w:t>3.2.4 有依法缴纳税收和社会保障资金的良好记录。</w:t>
      </w:r>
    </w:p>
    <w:p w14:paraId="70E3ECDC">
      <w:pPr>
        <w:spacing w:line="312" w:lineRule="auto"/>
        <w:ind w:firstLine="424" w:firstLineChars="202"/>
        <w:rPr>
          <w:rFonts w:ascii="宋体" w:hAnsi="宋体" w:eastAsia="宋体"/>
        </w:rPr>
      </w:pPr>
      <w:r>
        <w:rPr>
          <w:rFonts w:hint="eastAsia" w:ascii="宋体" w:hAnsi="宋体" w:eastAsia="宋体"/>
        </w:rPr>
        <w:t>3.2.5 参加政府采购活动前三年内，在经营活动中没有重大违法记录。</w:t>
      </w:r>
    </w:p>
    <w:p w14:paraId="6A206660">
      <w:pPr>
        <w:spacing w:line="312" w:lineRule="auto"/>
        <w:ind w:firstLine="424" w:firstLineChars="202"/>
        <w:rPr>
          <w:rFonts w:ascii="宋体" w:hAnsi="宋体" w:eastAsia="宋体"/>
        </w:rPr>
      </w:pPr>
      <w:r>
        <w:rPr>
          <w:rFonts w:hint="eastAsia" w:ascii="宋体" w:hAnsi="宋体" w:eastAsia="宋体"/>
        </w:rPr>
        <w:t>3.2.6 法律、行政法规规定的其他条件。</w:t>
      </w:r>
    </w:p>
    <w:p w14:paraId="3661DF79">
      <w:pPr>
        <w:spacing w:line="312" w:lineRule="auto"/>
        <w:ind w:firstLine="424" w:firstLineChars="202"/>
        <w:rPr>
          <w:rFonts w:ascii="宋体" w:hAnsi="宋体" w:eastAsia="宋体"/>
        </w:rPr>
      </w:pPr>
      <w:r>
        <w:rPr>
          <w:rFonts w:hint="eastAsia" w:ascii="宋体" w:hAnsi="宋体" w:eastAsia="宋体"/>
        </w:rPr>
        <w:t>3.2.7 只有在法律上和财务上独立、合法运作并独立于采购人和政府采购代理机构的响应供货商才能参加磋商。</w:t>
      </w:r>
    </w:p>
    <w:p w14:paraId="0D2E1DD8">
      <w:pPr>
        <w:spacing w:line="312" w:lineRule="auto"/>
        <w:ind w:firstLine="424" w:firstLineChars="202"/>
        <w:rPr>
          <w:rFonts w:ascii="宋体" w:hAnsi="宋体" w:eastAsia="宋体"/>
        </w:rPr>
      </w:pPr>
      <w:r>
        <w:rPr>
          <w:rFonts w:hint="eastAsia" w:ascii="宋体" w:hAnsi="宋体" w:eastAsia="宋体"/>
        </w:rPr>
        <w:t>3.2.8 法定代表人或单位负责人为同一人或者存在直接控股、管理关系的不同单位不得同时参与同一个项目（包组）的竞争。</w:t>
      </w:r>
    </w:p>
    <w:p w14:paraId="4B95FF7B">
      <w:pPr>
        <w:spacing w:line="312" w:lineRule="auto"/>
        <w:ind w:firstLine="424" w:firstLineChars="202"/>
        <w:rPr>
          <w:rFonts w:ascii="宋体" w:hAnsi="宋体" w:eastAsia="宋体"/>
        </w:rPr>
      </w:pPr>
      <w:r>
        <w:rPr>
          <w:rFonts w:hint="eastAsia" w:ascii="宋体" w:hAnsi="宋体" w:eastAsia="宋体"/>
        </w:rPr>
        <w:t>3.2.9 符合第一章磋商邀请“合格响应供应商资格要求”的特殊条款。</w:t>
      </w:r>
    </w:p>
    <w:p w14:paraId="6B8FE46B">
      <w:pPr>
        <w:spacing w:line="312" w:lineRule="auto"/>
        <w:ind w:firstLine="424" w:firstLineChars="202"/>
        <w:rPr>
          <w:rFonts w:ascii="宋体" w:hAnsi="宋体" w:eastAsia="宋体"/>
        </w:rPr>
      </w:pPr>
      <w:r>
        <w:rPr>
          <w:rFonts w:hint="eastAsia" w:ascii="宋体" w:hAnsi="宋体" w:eastAsia="宋体"/>
        </w:rPr>
        <w:t>3.3 成交供应商是指经法定程序确定并授予合同的响应供应商。</w:t>
      </w:r>
    </w:p>
    <w:p w14:paraId="749F38E5">
      <w:pPr>
        <w:spacing w:line="312" w:lineRule="auto"/>
        <w:rPr>
          <w:rFonts w:ascii="宋体" w:hAnsi="宋体" w:eastAsia="宋体"/>
          <w:b/>
        </w:rPr>
      </w:pPr>
      <w:r>
        <w:rPr>
          <w:rFonts w:ascii="宋体" w:hAnsi="宋体" w:eastAsia="宋体"/>
          <w:b/>
        </w:rPr>
        <w:t>4</w:t>
      </w:r>
      <w:r>
        <w:rPr>
          <w:rFonts w:hint="eastAsia" w:ascii="宋体" w:hAnsi="宋体" w:eastAsia="宋体"/>
          <w:b/>
        </w:rPr>
        <w:t>、合格的货物和服务</w:t>
      </w:r>
    </w:p>
    <w:p w14:paraId="7923111A">
      <w:pPr>
        <w:spacing w:line="312" w:lineRule="auto"/>
        <w:ind w:firstLine="424" w:firstLineChars="202"/>
        <w:rPr>
          <w:rFonts w:ascii="宋体" w:hAnsi="宋体" w:eastAsia="宋体"/>
        </w:rPr>
      </w:pPr>
      <w:r>
        <w:rPr>
          <w:rFonts w:ascii="宋体" w:hAnsi="宋体" w:eastAsia="宋体"/>
        </w:rPr>
        <w:t>4.1</w:t>
      </w:r>
      <w:r>
        <w:rPr>
          <w:rFonts w:hint="eastAsia" w:ascii="宋体" w:hAnsi="宋体" w:eastAsia="宋体"/>
        </w:rPr>
        <w:t>“货物”是指响应供应商制造或组织符合竞争性磋商文件要求的货物等。投标的货物必须是其合法生产、合法来源的符合国家有关标准要求的货物，并满足竞争性磋商文件规定的规格、参数、质量、价格、有效期、售后服务等要求。</w:t>
      </w:r>
    </w:p>
    <w:p w14:paraId="08BE84AB">
      <w:pPr>
        <w:spacing w:line="312" w:lineRule="auto"/>
        <w:ind w:firstLine="424" w:firstLineChars="202"/>
        <w:rPr>
          <w:rFonts w:ascii="宋体" w:hAnsi="宋体" w:eastAsia="宋体"/>
        </w:rPr>
      </w:pPr>
      <w:r>
        <w:rPr>
          <w:rFonts w:ascii="宋体" w:hAnsi="宋体" w:eastAsia="宋体"/>
        </w:rPr>
        <w:t>4.2</w:t>
      </w:r>
      <w:r>
        <w:rPr>
          <w:rFonts w:hint="eastAsia" w:ascii="宋体" w:hAnsi="宋体" w:eastAsia="宋体"/>
        </w:rPr>
        <w:t>“服务”是指响应供应商按竞争性磋商文件规定完成的全部服务内容，其中包括完成服务所需的货物，及须承担的技术支持、培训和其它伴随服务。</w:t>
      </w:r>
    </w:p>
    <w:p w14:paraId="1C3E4093">
      <w:pPr>
        <w:spacing w:line="312" w:lineRule="auto"/>
        <w:ind w:firstLine="424" w:firstLineChars="202"/>
        <w:rPr>
          <w:rFonts w:ascii="宋体" w:hAnsi="宋体" w:eastAsia="宋体"/>
        </w:rPr>
      </w:pPr>
      <w:r>
        <w:rPr>
          <w:rFonts w:hint="eastAsia" w:ascii="宋体" w:hAnsi="宋体" w:eastAsia="宋体"/>
        </w:rPr>
        <w:t>4.3 响应供应商提供的所有货物或服务，其质量、技术等特征必须符合国家、行业现行法律、法规的相关标准和《中华人民共和国政府采购法》的有关规定。</w:t>
      </w:r>
    </w:p>
    <w:p w14:paraId="21C231EC">
      <w:pPr>
        <w:spacing w:line="312" w:lineRule="auto"/>
        <w:ind w:firstLine="424" w:firstLineChars="202"/>
        <w:rPr>
          <w:rFonts w:ascii="宋体" w:hAnsi="宋体" w:eastAsia="宋体"/>
        </w:rPr>
      </w:pPr>
      <w:r>
        <w:rPr>
          <w:rFonts w:hint="eastAsia" w:ascii="宋体" w:hAnsi="宋体" w:eastAsia="宋体"/>
        </w:rPr>
        <w:t>4.4 采购人有权拒绝接受任何不合格的服务，由此产生的费用及相关后果均由供应商自行承担。</w:t>
      </w:r>
    </w:p>
    <w:p w14:paraId="63E70EDC">
      <w:pPr>
        <w:spacing w:line="312" w:lineRule="auto"/>
        <w:ind w:firstLine="424" w:firstLineChars="202"/>
        <w:rPr>
          <w:rFonts w:ascii="宋体" w:hAnsi="宋体" w:eastAsia="宋体"/>
        </w:rPr>
      </w:pPr>
      <w:r>
        <w:rPr>
          <w:rFonts w:hint="eastAsia" w:ascii="宋体" w:hAnsi="宋体" w:eastAsia="宋体"/>
        </w:rPr>
        <w:t>4.5 响应供应商应保证本项目的服务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p>
    <w:p w14:paraId="6D37F0DC">
      <w:pPr>
        <w:spacing w:line="312" w:lineRule="auto"/>
        <w:rPr>
          <w:rFonts w:ascii="宋体" w:hAnsi="宋体" w:eastAsia="宋体"/>
          <w:b/>
        </w:rPr>
      </w:pPr>
      <w:r>
        <w:rPr>
          <w:rFonts w:ascii="宋体" w:hAnsi="宋体" w:eastAsia="宋体"/>
          <w:b/>
        </w:rPr>
        <w:t>5</w:t>
      </w:r>
      <w:r>
        <w:rPr>
          <w:rFonts w:hint="eastAsia" w:ascii="宋体" w:hAnsi="宋体" w:eastAsia="宋体"/>
          <w:b/>
        </w:rPr>
        <w:t>、投标费用</w:t>
      </w:r>
    </w:p>
    <w:p w14:paraId="50146202">
      <w:pPr>
        <w:spacing w:line="312" w:lineRule="auto"/>
        <w:ind w:firstLine="420" w:firstLineChars="200"/>
        <w:rPr>
          <w:rFonts w:ascii="宋体" w:hAnsi="宋体" w:eastAsia="宋体"/>
        </w:rPr>
      </w:pPr>
      <w:r>
        <w:rPr>
          <w:rFonts w:hint="eastAsia" w:ascii="宋体" w:hAnsi="宋体" w:eastAsia="宋体"/>
        </w:rPr>
        <w:t>5.1 响应供应商应承担所有与准备和参加磋商有关的费用。不论磋商的结果如何，招标采购单位均无义务和责任承担这些费用。</w:t>
      </w:r>
    </w:p>
    <w:p w14:paraId="4BDEB077">
      <w:pPr>
        <w:spacing w:line="312" w:lineRule="auto"/>
        <w:rPr>
          <w:rFonts w:ascii="宋体" w:hAnsi="宋体" w:eastAsia="宋体"/>
          <w:b/>
        </w:rPr>
      </w:pPr>
      <w:r>
        <w:rPr>
          <w:rFonts w:ascii="宋体" w:hAnsi="宋体" w:eastAsia="宋体"/>
          <w:b/>
        </w:rPr>
        <w:t>6</w:t>
      </w:r>
      <w:r>
        <w:rPr>
          <w:rFonts w:hint="eastAsia" w:ascii="宋体" w:hAnsi="宋体" w:eastAsia="宋体"/>
          <w:b/>
        </w:rPr>
        <w:t>、政府采购信用担保</w:t>
      </w:r>
    </w:p>
    <w:p w14:paraId="5DBD3FCA">
      <w:pPr>
        <w:spacing w:line="312" w:lineRule="auto"/>
        <w:ind w:firstLine="424" w:firstLineChars="202"/>
        <w:rPr>
          <w:rFonts w:ascii="宋体" w:hAnsi="宋体" w:eastAsia="宋体"/>
        </w:rPr>
      </w:pPr>
      <w:r>
        <w:rPr>
          <w:rFonts w:hint="eastAsia" w:ascii="宋体" w:hAnsi="宋体" w:eastAsia="宋体"/>
        </w:rPr>
        <w:t>6.1根据《财政部关于开展政府采购信用担保试点工作的通知》（财库〔2011〕124号）和广东省政府采购信用担保试点实施方案粤财采购〔2011〕15号的有关精神和要求，除非投标资料表中另有规定，本项目实施政府采购信用担保。</w:t>
      </w:r>
    </w:p>
    <w:p w14:paraId="112E9691">
      <w:pPr>
        <w:spacing w:line="312" w:lineRule="auto"/>
        <w:ind w:firstLine="424" w:firstLineChars="202"/>
        <w:rPr>
          <w:rFonts w:ascii="宋体" w:hAnsi="宋体" w:eastAsia="宋体"/>
        </w:rPr>
      </w:pPr>
      <w:r>
        <w:rPr>
          <w:rFonts w:hint="eastAsia" w:ascii="宋体" w:hAnsi="宋体" w:eastAsia="宋体"/>
        </w:rPr>
        <w:t>6.2投标担保，是指由专业担保机构为供应商履行支付磋商保证金的义务向采购人或采购代理机构提供的保证担保。供应商在投标有效期内发生的撤回响应文件，或中标后因自身原因不签署政府采购合同等行为而应实际支付保证金的，由专业担保机构按照担保函的约定履行担保责任。供应商可以自愿选择是否采取投标担保函的形式交纳磋商保证金。</w:t>
      </w:r>
      <w:r>
        <w:rPr>
          <w:rFonts w:hint="eastAsia" w:ascii="宋体" w:hAnsi="宋体" w:eastAsia="宋体"/>
          <w:b/>
        </w:rPr>
        <w:t>（如有）</w:t>
      </w:r>
    </w:p>
    <w:p w14:paraId="7DB1F535">
      <w:pPr>
        <w:spacing w:line="312" w:lineRule="auto"/>
        <w:ind w:firstLine="424" w:firstLineChars="202"/>
        <w:rPr>
          <w:rFonts w:ascii="宋体" w:hAnsi="宋体" w:eastAsia="宋体"/>
        </w:rPr>
      </w:pPr>
      <w:r>
        <w:rPr>
          <w:rFonts w:hint="eastAsia" w:ascii="宋体" w:hAnsi="宋体" w:eastAsia="宋体"/>
        </w:rPr>
        <w:t>6.3履约担保，是指由专业担保机构为供应商支付履约保证金的义务向采购人提供的保证担保。中标人未按政府采购合同履行约定义务而应实际支付保证金的，由专业担保机构按照担保函约定履行担保责任。供应商可以自行选择是否采取履约担保函的形式交纳履约保证金。</w:t>
      </w:r>
      <w:r>
        <w:rPr>
          <w:rFonts w:hint="eastAsia" w:ascii="宋体" w:hAnsi="宋体" w:eastAsia="宋体"/>
          <w:b/>
        </w:rPr>
        <w:t>（如有）</w:t>
      </w:r>
    </w:p>
    <w:p w14:paraId="4650ADE3">
      <w:pPr>
        <w:spacing w:line="312" w:lineRule="auto"/>
        <w:ind w:firstLine="424" w:firstLineChars="202"/>
        <w:rPr>
          <w:rFonts w:ascii="宋体" w:hAnsi="宋体" w:eastAsia="宋体"/>
        </w:rPr>
      </w:pPr>
      <w:r>
        <w:rPr>
          <w:rFonts w:hint="eastAsia" w:ascii="宋体" w:hAnsi="宋体" w:eastAsia="宋体"/>
        </w:rPr>
        <w:t>6.4融资担保，是指由专业担保机构为供应商向银行融资提供的保证担保。供应商可以自愿选择是否采取融资担保的形式为政府采购履约进行融资。</w:t>
      </w:r>
      <w:r>
        <w:rPr>
          <w:rFonts w:hint="eastAsia" w:ascii="宋体" w:hAnsi="宋体" w:eastAsia="宋体"/>
          <w:b/>
        </w:rPr>
        <w:t>（如有）</w:t>
      </w:r>
    </w:p>
    <w:p w14:paraId="359C7FD0">
      <w:pPr>
        <w:spacing w:line="312" w:lineRule="auto"/>
        <w:ind w:firstLine="424" w:firstLineChars="202"/>
        <w:rPr>
          <w:rFonts w:ascii="宋体" w:hAnsi="宋体" w:eastAsia="宋体"/>
        </w:rPr>
      </w:pPr>
      <w:r>
        <w:rPr>
          <w:rFonts w:hint="eastAsia" w:ascii="宋体" w:hAnsi="宋体" w:eastAsia="宋体"/>
        </w:rPr>
        <w:t>6.5专业担保机构的选择。除非投标资料表中另有规定，投标人必须选定中国投资担保有限公司、广东省融资再担保公司、东莞市金鼎融资担保公司任一家作为专业担保机构。</w:t>
      </w:r>
      <w:r>
        <w:rPr>
          <w:rFonts w:hint="eastAsia" w:ascii="宋体" w:hAnsi="宋体" w:eastAsia="宋体"/>
          <w:b/>
        </w:rPr>
        <w:t>（如有）</w:t>
      </w:r>
    </w:p>
    <w:p w14:paraId="3554EDF7">
      <w:pPr>
        <w:spacing w:line="312" w:lineRule="auto"/>
        <w:ind w:firstLine="424" w:firstLineChars="202"/>
        <w:rPr>
          <w:rFonts w:ascii="宋体" w:hAnsi="宋体" w:eastAsia="宋体"/>
        </w:rPr>
      </w:pPr>
      <w:r>
        <w:rPr>
          <w:rFonts w:hint="eastAsia" w:ascii="宋体" w:hAnsi="宋体" w:eastAsia="宋体"/>
        </w:rPr>
        <w:t>6.6供应商可以以投标担保函的形式交纳投标保证金，并以《政府采购投标担保函》作为响应文件的附件。</w:t>
      </w:r>
      <w:r>
        <w:rPr>
          <w:rFonts w:hint="eastAsia" w:ascii="宋体" w:hAnsi="宋体" w:eastAsia="宋体"/>
          <w:b/>
        </w:rPr>
        <w:t>（如有）</w:t>
      </w:r>
    </w:p>
    <w:p w14:paraId="03A291F8">
      <w:pPr>
        <w:spacing w:line="312" w:lineRule="auto"/>
        <w:ind w:firstLine="424" w:firstLineChars="202"/>
        <w:rPr>
          <w:rFonts w:ascii="宋体" w:hAnsi="宋体" w:eastAsia="宋体"/>
        </w:rPr>
      </w:pPr>
      <w:r>
        <w:rPr>
          <w:rFonts w:hint="eastAsia" w:ascii="宋体" w:hAnsi="宋体" w:eastAsia="宋体"/>
        </w:rPr>
        <w:t>6.7供应商可以以履约担保函的形式交纳履约保证金。</w:t>
      </w:r>
      <w:r>
        <w:rPr>
          <w:rFonts w:hint="eastAsia" w:ascii="宋体" w:hAnsi="宋体" w:eastAsia="宋体"/>
          <w:b/>
        </w:rPr>
        <w:t>（如有）</w:t>
      </w:r>
    </w:p>
    <w:p w14:paraId="08479F27">
      <w:pPr>
        <w:spacing w:line="312" w:lineRule="auto"/>
        <w:rPr>
          <w:rFonts w:ascii="宋体" w:hAnsi="宋体" w:eastAsia="宋体"/>
          <w:b/>
        </w:rPr>
      </w:pPr>
      <w:r>
        <w:rPr>
          <w:rFonts w:ascii="宋体" w:hAnsi="宋体" w:eastAsia="宋体"/>
          <w:b/>
        </w:rPr>
        <w:t>7</w:t>
      </w:r>
      <w:r>
        <w:rPr>
          <w:rFonts w:hint="eastAsia" w:ascii="宋体" w:hAnsi="宋体" w:eastAsia="宋体"/>
          <w:b/>
        </w:rPr>
        <w:t>、其他</w:t>
      </w:r>
    </w:p>
    <w:p w14:paraId="36614C06">
      <w:pPr>
        <w:spacing w:line="312" w:lineRule="auto"/>
        <w:ind w:firstLine="420" w:firstLineChars="200"/>
        <w:rPr>
          <w:rFonts w:ascii="宋体" w:hAnsi="宋体" w:eastAsia="宋体"/>
        </w:rPr>
      </w:pPr>
      <w:r>
        <w:rPr>
          <w:rFonts w:hint="eastAsia" w:ascii="宋体" w:hAnsi="宋体" w:eastAsia="宋体"/>
        </w:rPr>
        <w:t>7.1所有时间均为24小时制北京时间，所有货币单位均为人民币元，所使用的计量单位均以《中华人民共和国法定计量单位》为准（特别注明除外）。</w:t>
      </w:r>
    </w:p>
    <w:p w14:paraId="05828B88">
      <w:pPr>
        <w:pStyle w:val="3"/>
        <w:rPr>
          <w:rFonts w:ascii="宋体" w:hAnsi="宋体" w:eastAsia="宋体"/>
        </w:rPr>
      </w:pPr>
      <w:bookmarkStart w:id="16" w:name="_Toc152927351"/>
      <w:r>
        <w:rPr>
          <w:rFonts w:hint="eastAsia" w:ascii="宋体" w:hAnsi="宋体" w:eastAsia="宋体"/>
        </w:rPr>
        <w:t>二、竞争性磋商文件</w:t>
      </w:r>
      <w:bookmarkEnd w:id="16"/>
    </w:p>
    <w:p w14:paraId="2CD55B90">
      <w:pPr>
        <w:spacing w:line="312" w:lineRule="auto"/>
        <w:rPr>
          <w:rFonts w:ascii="宋体" w:hAnsi="宋体" w:eastAsia="宋体"/>
          <w:b/>
        </w:rPr>
      </w:pPr>
      <w:r>
        <w:rPr>
          <w:rFonts w:ascii="宋体" w:hAnsi="宋体" w:eastAsia="宋体"/>
          <w:b/>
        </w:rPr>
        <w:t>8</w:t>
      </w:r>
      <w:r>
        <w:rPr>
          <w:rFonts w:hint="eastAsia" w:ascii="宋体" w:hAnsi="宋体" w:eastAsia="宋体"/>
          <w:b/>
        </w:rPr>
        <w:t>、竞争性磋商文件的编制依据与构成</w:t>
      </w:r>
    </w:p>
    <w:p w14:paraId="2DFF4B41">
      <w:pPr>
        <w:spacing w:line="312" w:lineRule="auto"/>
        <w:ind w:firstLine="420" w:firstLineChars="200"/>
        <w:rPr>
          <w:rFonts w:ascii="宋体" w:hAnsi="宋体" w:eastAsia="宋体"/>
        </w:rPr>
      </w:pPr>
      <w:r>
        <w:rPr>
          <w:rFonts w:hint="eastAsia" w:ascii="宋体" w:hAnsi="宋体" w:eastAsia="宋体"/>
        </w:rPr>
        <w:t>8.1 本竞争性磋商文件的编制依据《中华人民共和国政府采购法》及其实施条例、《政府采购竞争性磋商采购方式管理暂行办法》及其配套的法规、规章、政策。</w:t>
      </w:r>
    </w:p>
    <w:p w14:paraId="7DDBD3B0">
      <w:pPr>
        <w:spacing w:line="312" w:lineRule="auto"/>
        <w:ind w:firstLine="420" w:firstLineChars="200"/>
        <w:rPr>
          <w:rFonts w:ascii="宋体" w:hAnsi="宋体" w:eastAsia="宋体"/>
        </w:rPr>
      </w:pPr>
      <w:r>
        <w:rPr>
          <w:rFonts w:hint="eastAsia" w:ascii="宋体" w:hAnsi="宋体" w:eastAsia="宋体"/>
        </w:rPr>
        <w:t>8.2 要求提供的货物或服务、采购过程和合同条件在竞争性磋商文件中均有说明。竞争性磋商文件以中文文字编写。</w:t>
      </w:r>
    </w:p>
    <w:p w14:paraId="39062C74">
      <w:pPr>
        <w:spacing w:line="312" w:lineRule="auto"/>
        <w:ind w:firstLine="424" w:firstLineChars="202"/>
        <w:rPr>
          <w:rFonts w:ascii="宋体" w:hAnsi="宋体" w:eastAsia="宋体"/>
        </w:rPr>
      </w:pPr>
      <w:r>
        <w:rPr>
          <w:rFonts w:hint="eastAsia" w:ascii="宋体" w:hAnsi="宋体" w:eastAsia="宋体"/>
        </w:rPr>
        <w:t>竞争性磋商文件共七章，由下列文件以及在采购过程中发出的澄清、修改和补充文件组成，内容如下：</w:t>
      </w:r>
    </w:p>
    <w:p w14:paraId="3C8C06C3">
      <w:pPr>
        <w:spacing w:line="312" w:lineRule="auto"/>
        <w:ind w:firstLine="424" w:firstLineChars="202"/>
        <w:rPr>
          <w:rFonts w:ascii="宋体" w:hAnsi="宋体" w:eastAsia="宋体"/>
        </w:rPr>
      </w:pPr>
      <w:r>
        <w:rPr>
          <w:rFonts w:hint="eastAsia" w:ascii="宋体" w:hAnsi="宋体" w:eastAsia="宋体"/>
        </w:rPr>
        <w:t>第一章 磋商邀请</w:t>
      </w:r>
    </w:p>
    <w:p w14:paraId="6BBF5D6B">
      <w:pPr>
        <w:spacing w:line="312" w:lineRule="auto"/>
        <w:ind w:firstLine="424" w:firstLineChars="202"/>
        <w:rPr>
          <w:rFonts w:ascii="宋体" w:hAnsi="宋体" w:eastAsia="宋体"/>
        </w:rPr>
      </w:pPr>
      <w:r>
        <w:rPr>
          <w:rFonts w:hint="eastAsia" w:ascii="宋体" w:hAnsi="宋体" w:eastAsia="宋体"/>
        </w:rPr>
        <w:t>第二章 磋商资料表</w:t>
      </w:r>
    </w:p>
    <w:p w14:paraId="46403B25">
      <w:pPr>
        <w:spacing w:line="312" w:lineRule="auto"/>
        <w:ind w:firstLine="424" w:firstLineChars="202"/>
        <w:rPr>
          <w:rFonts w:ascii="宋体" w:hAnsi="宋体" w:eastAsia="宋体"/>
        </w:rPr>
      </w:pPr>
      <w:r>
        <w:rPr>
          <w:rFonts w:hint="eastAsia" w:ascii="宋体" w:hAnsi="宋体" w:eastAsia="宋体"/>
        </w:rPr>
        <w:t>第三章 评分体系与标准</w:t>
      </w:r>
    </w:p>
    <w:p w14:paraId="5B27374A">
      <w:pPr>
        <w:spacing w:line="312" w:lineRule="auto"/>
        <w:ind w:firstLine="424" w:firstLineChars="202"/>
        <w:rPr>
          <w:rFonts w:ascii="宋体" w:hAnsi="宋体" w:eastAsia="宋体"/>
        </w:rPr>
      </w:pPr>
      <w:r>
        <w:rPr>
          <w:rFonts w:hint="eastAsia" w:ascii="宋体" w:hAnsi="宋体" w:eastAsia="宋体"/>
        </w:rPr>
        <w:t>第四章 用户需求书</w:t>
      </w:r>
    </w:p>
    <w:p w14:paraId="11B7EC36">
      <w:pPr>
        <w:spacing w:line="312" w:lineRule="auto"/>
        <w:ind w:firstLine="424" w:firstLineChars="202"/>
        <w:rPr>
          <w:rFonts w:ascii="宋体" w:hAnsi="宋体" w:eastAsia="宋体"/>
        </w:rPr>
      </w:pPr>
      <w:r>
        <w:rPr>
          <w:rFonts w:hint="eastAsia" w:ascii="宋体" w:hAnsi="宋体" w:eastAsia="宋体"/>
        </w:rPr>
        <w:t>第五章 合同通用条款</w:t>
      </w:r>
    </w:p>
    <w:p w14:paraId="2E884863">
      <w:pPr>
        <w:spacing w:line="312" w:lineRule="auto"/>
        <w:ind w:firstLine="424" w:firstLineChars="202"/>
        <w:rPr>
          <w:rFonts w:ascii="宋体" w:hAnsi="宋体" w:eastAsia="宋体"/>
        </w:rPr>
      </w:pPr>
      <w:r>
        <w:rPr>
          <w:rFonts w:hint="eastAsia" w:ascii="宋体" w:hAnsi="宋体" w:eastAsia="宋体"/>
        </w:rPr>
        <w:t>第六章 响应文件格式</w:t>
      </w:r>
    </w:p>
    <w:p w14:paraId="112FC2AC">
      <w:pPr>
        <w:spacing w:line="312" w:lineRule="auto"/>
        <w:ind w:firstLine="424" w:firstLineChars="202"/>
        <w:rPr>
          <w:rFonts w:ascii="宋体" w:hAnsi="宋体" w:eastAsia="宋体"/>
        </w:rPr>
      </w:pPr>
      <w:r>
        <w:rPr>
          <w:rFonts w:hint="eastAsia" w:ascii="宋体" w:hAnsi="宋体" w:eastAsia="宋体"/>
        </w:rPr>
        <w:t>第七章 磋商须知</w:t>
      </w:r>
    </w:p>
    <w:p w14:paraId="07B49B4A">
      <w:pPr>
        <w:spacing w:line="312" w:lineRule="auto"/>
        <w:ind w:firstLine="424" w:firstLineChars="202"/>
        <w:rPr>
          <w:rFonts w:ascii="宋体" w:hAnsi="宋体" w:eastAsia="宋体"/>
        </w:rPr>
      </w:pPr>
      <w:r>
        <w:rPr>
          <w:rFonts w:hint="eastAsia" w:ascii="宋体" w:hAnsi="宋体" w:eastAsia="宋体"/>
        </w:rPr>
        <w:t>8.3 响应供应商应认真阅读、并充分理解竞争性磋商文件的全部内容（包括所有的补充、修改内容、重要事项、格式、条款和技术规范、参数及要求等）。响应供应商没有按照竞争性磋商文件要求提交全部资料，或者响应文件没有对竞争性磋商文件在各方面都作出实质性响应是响应供应商的风险，有可能导致其磋商响应被拒绝，或被认定为无效响应或被确定为响应无效。</w:t>
      </w:r>
    </w:p>
    <w:p w14:paraId="39C0340A">
      <w:pPr>
        <w:spacing w:line="312" w:lineRule="auto"/>
        <w:ind w:firstLine="424" w:firstLineChars="202"/>
        <w:rPr>
          <w:rFonts w:ascii="宋体" w:hAnsi="宋体" w:eastAsia="宋体"/>
        </w:rPr>
      </w:pPr>
      <w:r>
        <w:rPr>
          <w:rFonts w:hint="eastAsia" w:ascii="宋体" w:hAnsi="宋体" w:eastAsia="宋体"/>
        </w:rPr>
        <w:t>8.4 本竞争性磋商文件的解释权归“广东创富工程管理有限公司”所有。</w:t>
      </w:r>
    </w:p>
    <w:p w14:paraId="763D10E0">
      <w:pPr>
        <w:spacing w:line="312" w:lineRule="auto"/>
        <w:rPr>
          <w:rFonts w:ascii="宋体" w:hAnsi="宋体" w:eastAsia="宋体"/>
          <w:b/>
        </w:rPr>
      </w:pPr>
      <w:r>
        <w:rPr>
          <w:rFonts w:ascii="宋体" w:hAnsi="宋体" w:eastAsia="宋体"/>
          <w:b/>
        </w:rPr>
        <w:t>9</w:t>
      </w:r>
      <w:r>
        <w:rPr>
          <w:rFonts w:hint="eastAsia" w:ascii="宋体" w:hAnsi="宋体" w:eastAsia="宋体"/>
          <w:b/>
        </w:rPr>
        <w:t>、竞争性磋商文件的澄清及修改</w:t>
      </w:r>
    </w:p>
    <w:p w14:paraId="475152CE">
      <w:pPr>
        <w:spacing w:line="312" w:lineRule="auto"/>
        <w:ind w:firstLine="420" w:firstLineChars="200"/>
        <w:rPr>
          <w:rFonts w:ascii="宋体" w:hAnsi="宋体" w:eastAsia="宋体"/>
        </w:rPr>
      </w:pPr>
      <w:r>
        <w:rPr>
          <w:rFonts w:hint="eastAsia" w:ascii="宋体" w:hAnsi="宋体" w:eastAsia="宋体"/>
        </w:rPr>
        <w:t>9.1无论出于何种原因，招标采购单位可以主动地或在解答响应供应商提出的疑问时对已发出的竞争性磋商文件进行必要的澄清或修改（更正）的，在提交首次响应文件截止时间至少5日前在指定媒体上发布公告，并通知所有报名及购买竞争性磋商文件的响应供应商，报名及购买竞争性磋商文件的响应供应商在收到澄清或修改（更正）通知后应按要求以书面形式（传真有效）予以确认，如在24小时之内无书面回函则视为同意修改内容，并有责任履行相应的义务。澄清或修改（更正）不足5日的，但可能不影响响应文件编制的，招标采购单位在征得当时已报名及购买竞争性磋商文件的响应供应商同意并书面确认（传真有效）后，可不改变投标截止时间。</w:t>
      </w:r>
    </w:p>
    <w:p w14:paraId="1B7BA931">
      <w:pPr>
        <w:spacing w:line="312" w:lineRule="auto"/>
        <w:ind w:firstLine="420" w:firstLineChars="200"/>
        <w:rPr>
          <w:rFonts w:ascii="宋体" w:hAnsi="宋体" w:eastAsia="宋体"/>
        </w:rPr>
      </w:pPr>
      <w:r>
        <w:rPr>
          <w:rFonts w:hint="eastAsia" w:ascii="宋体" w:hAnsi="宋体" w:eastAsia="宋体"/>
        </w:rPr>
        <w:t>9.2招标采购单位发出的澄清或修改（更正）的内容为竞争性磋商文件的组成部分，并对潜在响应供应商具有约束力。</w:t>
      </w:r>
    </w:p>
    <w:p w14:paraId="6DDAFB75">
      <w:pPr>
        <w:spacing w:line="312" w:lineRule="auto"/>
        <w:ind w:firstLine="420" w:firstLineChars="200"/>
        <w:rPr>
          <w:rFonts w:ascii="宋体" w:hAnsi="宋体" w:eastAsia="宋体"/>
        </w:rPr>
      </w:pPr>
      <w:r>
        <w:rPr>
          <w:rFonts w:hint="eastAsia" w:ascii="宋体" w:hAnsi="宋体" w:eastAsia="宋体"/>
        </w:rPr>
        <w:t>9.3响应供应商在规定的时间内未对竞争性磋商文件澄清或提出疑问的，招标采购单位将视其为无异议。对竞争性磋商文件中描述有歧意或前后不一致的地方，磋商小组有权进行评判，但对同一条款的评判应适用于每个响应供应商。</w:t>
      </w:r>
    </w:p>
    <w:p w14:paraId="40A12278">
      <w:pPr>
        <w:spacing w:line="312" w:lineRule="auto"/>
        <w:rPr>
          <w:rFonts w:ascii="宋体" w:hAnsi="宋体" w:eastAsia="宋体"/>
          <w:b/>
        </w:rPr>
      </w:pPr>
    </w:p>
    <w:p w14:paraId="6B8D9DC1">
      <w:pPr>
        <w:spacing w:line="312" w:lineRule="auto"/>
        <w:rPr>
          <w:rFonts w:ascii="宋体" w:hAnsi="宋体" w:eastAsia="宋体"/>
          <w:b/>
        </w:rPr>
      </w:pPr>
      <w:r>
        <w:rPr>
          <w:rFonts w:hint="eastAsia" w:ascii="宋体" w:hAnsi="宋体" w:eastAsia="宋体"/>
          <w:b/>
        </w:rPr>
        <w:t>10、竞争性磋商文件的答疑或现场考察</w:t>
      </w:r>
    </w:p>
    <w:p w14:paraId="345A3225">
      <w:pPr>
        <w:spacing w:line="312" w:lineRule="auto"/>
        <w:ind w:firstLine="424" w:firstLineChars="202"/>
        <w:rPr>
          <w:rFonts w:ascii="宋体" w:hAnsi="宋体" w:eastAsia="宋体"/>
        </w:rPr>
      </w:pPr>
      <w:r>
        <w:rPr>
          <w:rFonts w:hint="eastAsia" w:ascii="宋体" w:hAnsi="宋体" w:eastAsia="宋体"/>
        </w:rPr>
        <w:t>10.1 除非依本须知9.1规定的有必要时或磋商资料表中另有规定，不举行项目集中答疑会或现场考察，如举行集中答疑会或现场考察的，则按以下规定：</w:t>
      </w:r>
    </w:p>
    <w:p w14:paraId="1254027D">
      <w:pPr>
        <w:spacing w:line="312" w:lineRule="auto"/>
        <w:ind w:firstLine="424" w:firstLineChars="202"/>
        <w:rPr>
          <w:rFonts w:ascii="宋体" w:hAnsi="宋体" w:eastAsia="宋体"/>
        </w:rPr>
      </w:pPr>
      <w:r>
        <w:rPr>
          <w:rFonts w:hint="eastAsia" w:ascii="宋体" w:hAnsi="宋体" w:eastAsia="宋体"/>
        </w:rPr>
        <w:t>10.1.1 在磋商资料表中规定的日期、时间和地点组织公开答疑会或现场考察；</w:t>
      </w:r>
    </w:p>
    <w:p w14:paraId="612B26C2">
      <w:pPr>
        <w:spacing w:line="312" w:lineRule="auto"/>
        <w:ind w:firstLine="424" w:firstLineChars="202"/>
        <w:rPr>
          <w:rFonts w:ascii="宋体" w:hAnsi="宋体" w:eastAsia="宋体"/>
        </w:rPr>
      </w:pPr>
      <w:r>
        <w:rPr>
          <w:rFonts w:hint="eastAsia" w:ascii="宋体" w:hAnsi="宋体" w:eastAsia="宋体"/>
        </w:rPr>
        <w:t>10.1.2 供应商对本项目提出的疑问，需在答疑会或现场考察召开日前至少一个工作日将问题清单以书面形式（加盖公章）提交至政府采购代理机构，供应商代表于上述的时间和地点出席答疑会或现场考察；</w:t>
      </w:r>
    </w:p>
    <w:p w14:paraId="7739F5C4">
      <w:pPr>
        <w:spacing w:line="312" w:lineRule="auto"/>
        <w:ind w:firstLine="424" w:firstLineChars="202"/>
        <w:rPr>
          <w:rFonts w:ascii="宋体" w:hAnsi="宋体" w:eastAsia="宋体"/>
        </w:rPr>
      </w:pPr>
      <w:r>
        <w:rPr>
          <w:rFonts w:hint="eastAsia" w:ascii="宋体" w:hAnsi="宋体" w:eastAsia="宋体"/>
        </w:rPr>
        <w:t>10.1.3 已购买竞争性磋商文件的响应供应商如不出席答疑会或现场考察视为对竞争性磋商文件所有内容无任何异议。</w:t>
      </w:r>
    </w:p>
    <w:p w14:paraId="3AC37039">
      <w:pPr>
        <w:pStyle w:val="3"/>
        <w:rPr>
          <w:rFonts w:ascii="宋体" w:hAnsi="宋体" w:eastAsia="宋体"/>
        </w:rPr>
      </w:pPr>
      <w:bookmarkStart w:id="17" w:name="_Toc152927352"/>
      <w:r>
        <w:rPr>
          <w:rFonts w:hint="eastAsia" w:ascii="宋体" w:hAnsi="宋体" w:eastAsia="宋体"/>
        </w:rPr>
        <w:t>三、响应文件的编制</w:t>
      </w:r>
      <w:bookmarkEnd w:id="17"/>
    </w:p>
    <w:p w14:paraId="29AC467F">
      <w:pPr>
        <w:spacing w:line="312" w:lineRule="auto"/>
        <w:rPr>
          <w:rFonts w:ascii="宋体" w:hAnsi="宋体" w:eastAsia="宋体"/>
          <w:b/>
        </w:rPr>
      </w:pPr>
      <w:r>
        <w:rPr>
          <w:rFonts w:hint="eastAsia" w:ascii="宋体" w:hAnsi="宋体" w:eastAsia="宋体"/>
          <w:b/>
        </w:rPr>
        <w:t>11、磋商的语言</w:t>
      </w:r>
    </w:p>
    <w:p w14:paraId="32E6BF84">
      <w:pPr>
        <w:spacing w:line="312" w:lineRule="auto"/>
        <w:ind w:firstLine="420" w:firstLineChars="200"/>
        <w:rPr>
          <w:rFonts w:ascii="宋体" w:hAnsi="宋体" w:eastAsia="宋体"/>
        </w:rPr>
      </w:pPr>
      <w:r>
        <w:rPr>
          <w:rFonts w:hint="eastAsia" w:ascii="宋体" w:hAnsi="宋体" w:eastAsia="宋体"/>
        </w:rPr>
        <w:t>11.1 响应供应商提交的响应文件以及响应供应商与招标采购单位就有关磋商的所有来往函电均应使用中文书写。响应供应商提交的支持资料和已印刷的文献可以用另一种语言，但相应内容应附有中文翻译本，在解释响应文件的修改内容时以中文翻译本为准。对中文翻译有异议的，以权威机构的译本为准。</w:t>
      </w:r>
    </w:p>
    <w:p w14:paraId="02A675F9">
      <w:pPr>
        <w:spacing w:line="312" w:lineRule="auto"/>
        <w:rPr>
          <w:rFonts w:ascii="宋体" w:hAnsi="宋体" w:eastAsia="宋体"/>
          <w:b/>
        </w:rPr>
      </w:pPr>
      <w:r>
        <w:rPr>
          <w:rFonts w:hint="eastAsia" w:ascii="宋体" w:hAnsi="宋体" w:eastAsia="宋体"/>
          <w:b/>
        </w:rPr>
        <w:t>12、响应文件的构成</w:t>
      </w:r>
    </w:p>
    <w:p w14:paraId="6CEF7C0B">
      <w:pPr>
        <w:spacing w:line="312" w:lineRule="auto"/>
        <w:ind w:firstLine="420" w:firstLineChars="200"/>
        <w:rPr>
          <w:rFonts w:ascii="宋体" w:hAnsi="宋体" w:eastAsia="宋体"/>
        </w:rPr>
      </w:pPr>
      <w:r>
        <w:rPr>
          <w:rFonts w:hint="eastAsia" w:ascii="宋体" w:hAnsi="宋体" w:eastAsia="宋体"/>
        </w:rPr>
        <w:t>12.1 响应供应商编写的响应文件应包括初审文件、技术文件、商务文件，编排顺序参见响应文件格式。</w:t>
      </w:r>
    </w:p>
    <w:p w14:paraId="7A2D875F">
      <w:pPr>
        <w:spacing w:line="312" w:lineRule="auto"/>
        <w:ind w:firstLine="420" w:firstLineChars="200"/>
        <w:rPr>
          <w:rFonts w:ascii="宋体" w:hAnsi="宋体" w:eastAsia="宋体"/>
        </w:rPr>
      </w:pPr>
      <w:r>
        <w:rPr>
          <w:rFonts w:ascii="宋体" w:hAnsi="宋体" w:eastAsia="宋体"/>
        </w:rPr>
        <w:t>12.2</w:t>
      </w:r>
      <w:r>
        <w:rPr>
          <w:rFonts w:hint="eastAsia" w:ascii="宋体" w:hAnsi="宋体" w:eastAsia="宋体"/>
        </w:rPr>
        <w:t>响应文件的构成应符合法律法规及竞争性磋商文件的要求。</w:t>
      </w:r>
    </w:p>
    <w:p w14:paraId="34A3EF66">
      <w:pPr>
        <w:spacing w:line="312" w:lineRule="auto"/>
        <w:rPr>
          <w:rFonts w:ascii="宋体" w:hAnsi="宋体" w:eastAsia="宋体"/>
          <w:b/>
        </w:rPr>
      </w:pPr>
      <w:r>
        <w:rPr>
          <w:rFonts w:hint="eastAsia" w:ascii="宋体" w:hAnsi="宋体" w:eastAsia="宋体"/>
          <w:b/>
        </w:rPr>
        <w:t>13、响应文件的编写</w:t>
      </w:r>
    </w:p>
    <w:p w14:paraId="79714ABE">
      <w:pPr>
        <w:spacing w:line="312" w:lineRule="auto"/>
        <w:ind w:firstLine="424" w:firstLineChars="202"/>
        <w:rPr>
          <w:rFonts w:ascii="宋体" w:hAnsi="宋体" w:eastAsia="宋体"/>
        </w:rPr>
      </w:pPr>
      <w:r>
        <w:rPr>
          <w:rFonts w:hint="eastAsia" w:ascii="宋体" w:hAnsi="宋体" w:eastAsia="宋体"/>
        </w:rPr>
        <w:t>13.1 响应供应商应完整、真实、准确地填写竞争性磋商文件中提供的磋商函、报价表以及竞争性磋商文件中规定的其它所有内容。</w:t>
      </w:r>
    </w:p>
    <w:p w14:paraId="4B3E0012">
      <w:pPr>
        <w:spacing w:line="312" w:lineRule="auto"/>
        <w:ind w:firstLine="424" w:firstLineChars="202"/>
        <w:rPr>
          <w:rFonts w:ascii="宋体" w:hAnsi="宋体" w:eastAsia="宋体"/>
        </w:rPr>
      </w:pPr>
      <w:r>
        <w:rPr>
          <w:rFonts w:hint="eastAsia" w:ascii="宋体" w:hAnsi="宋体" w:eastAsia="宋体"/>
        </w:rPr>
        <w:t>13.2 响应供应商对竞争性磋商文件中多个包组进行磋商的，其响应文件的编制可按每个包组的要求分别装订和封装。响应供应商应当对响应文件进行装订，对未经装订的响应文件可能发生的文件散落或缺损，由此造成的后果和责任由响应供应商承担。</w:t>
      </w:r>
    </w:p>
    <w:p w14:paraId="20EB0294">
      <w:pPr>
        <w:spacing w:line="312" w:lineRule="auto"/>
        <w:ind w:firstLine="424" w:firstLineChars="202"/>
        <w:rPr>
          <w:rFonts w:ascii="宋体" w:hAnsi="宋体" w:eastAsia="宋体"/>
        </w:rPr>
      </w:pPr>
      <w:r>
        <w:rPr>
          <w:rFonts w:hint="eastAsia" w:ascii="宋体" w:hAnsi="宋体" w:eastAsia="宋体"/>
        </w:rPr>
        <w:t>13.3 响应供应商必须对响应文件所提供的全部资料的真实性承担法律责任，并无条件接受招标采购单位及政府采购监督管理部门等对其中任何资料进行核实的要求。</w:t>
      </w:r>
    </w:p>
    <w:p w14:paraId="56FD25AD">
      <w:pPr>
        <w:spacing w:line="312" w:lineRule="auto"/>
        <w:ind w:firstLine="424" w:firstLineChars="202"/>
        <w:rPr>
          <w:rFonts w:ascii="宋体" w:hAnsi="宋体" w:eastAsia="宋体"/>
        </w:rPr>
      </w:pPr>
      <w:r>
        <w:rPr>
          <w:rFonts w:hint="eastAsia" w:ascii="宋体" w:hAnsi="宋体" w:eastAsia="宋体"/>
        </w:rPr>
        <w:t>13.4 如果因为响应供应商的响应文件只填写和提供了本竞争性磋商文件要求的部分内容和附件，或没有提供竞争性磋商文件中所要求的全部资料及数据，而给磋商造成困难的，其可能导致的结果和责任由响应供应商自行承担。</w:t>
      </w:r>
    </w:p>
    <w:p w14:paraId="15132CAF">
      <w:pPr>
        <w:spacing w:line="312" w:lineRule="auto"/>
        <w:rPr>
          <w:rFonts w:ascii="宋体" w:hAnsi="宋体" w:eastAsia="宋体"/>
          <w:b/>
        </w:rPr>
      </w:pPr>
      <w:r>
        <w:rPr>
          <w:rFonts w:hint="eastAsia" w:ascii="宋体" w:hAnsi="宋体" w:eastAsia="宋体"/>
          <w:b/>
        </w:rPr>
        <w:t>14、磋商报价</w:t>
      </w:r>
    </w:p>
    <w:p w14:paraId="14B0EBF8">
      <w:pPr>
        <w:spacing w:line="312" w:lineRule="auto"/>
        <w:ind w:firstLine="420" w:firstLineChars="200"/>
        <w:rPr>
          <w:rFonts w:ascii="宋体" w:hAnsi="宋体" w:eastAsia="宋体"/>
        </w:rPr>
      </w:pPr>
      <w:r>
        <w:rPr>
          <w:rFonts w:hint="eastAsia" w:ascii="宋体" w:hAnsi="宋体" w:eastAsia="宋体"/>
        </w:rPr>
        <w:t>14.1 响应供应商应按照“第四章 用户需求书”中采购项目技术或服务要求规定的内容、责任范围进行报价。并按报价表的要求报出价格。报价总价中不得包含竞争性磋商文件要求以外的内容，否则，在评审时不予核减。报价总价中不得缺漏竞争性磋商文件所要求的内容，否则，被视为包含在报价总价中。</w:t>
      </w:r>
    </w:p>
    <w:p w14:paraId="18DD15D1">
      <w:pPr>
        <w:spacing w:line="312" w:lineRule="auto"/>
        <w:ind w:firstLine="424" w:firstLineChars="202"/>
        <w:rPr>
          <w:rFonts w:ascii="宋体" w:hAnsi="宋体" w:eastAsia="宋体"/>
        </w:rPr>
      </w:pPr>
      <w:r>
        <w:rPr>
          <w:rFonts w:hint="eastAsia" w:ascii="宋体" w:hAnsi="宋体" w:eastAsia="宋体"/>
        </w:rPr>
        <w:t>14.2 在磋商过程中，磋商小组发现响应供应商的报价明显低于其他响应供应商报价，使得其投标报价可能低于其个别成本的，应当要求该响应供应商作出书面说明并提供相关证明材料。响应供应商不能合理说明或者不能提供相关证明材料的，由磋商小组认定该响应供应商以低于成本报价，应当否决其投标。</w:t>
      </w:r>
    </w:p>
    <w:p w14:paraId="206427AB">
      <w:pPr>
        <w:spacing w:line="312" w:lineRule="auto"/>
        <w:ind w:firstLine="424" w:firstLineChars="202"/>
        <w:rPr>
          <w:rFonts w:ascii="宋体" w:hAnsi="宋体" w:eastAsia="宋体"/>
        </w:rPr>
      </w:pPr>
      <w:r>
        <w:rPr>
          <w:rFonts w:hint="eastAsia" w:ascii="宋体" w:hAnsi="宋体" w:eastAsia="宋体"/>
        </w:rPr>
        <w:t>14.3 投标分项报价表内容应包含：（适用货物类项目）</w:t>
      </w:r>
    </w:p>
    <w:p w14:paraId="3FEF82FD">
      <w:pPr>
        <w:spacing w:line="312" w:lineRule="auto"/>
        <w:ind w:firstLine="424" w:firstLineChars="202"/>
        <w:rPr>
          <w:rFonts w:ascii="宋体" w:hAnsi="宋体" w:eastAsia="宋体"/>
        </w:rPr>
      </w:pPr>
      <w:r>
        <w:rPr>
          <w:rFonts w:hint="eastAsia" w:ascii="宋体" w:hAnsi="宋体" w:eastAsia="宋体"/>
        </w:rPr>
        <w:t>14.3.1 从中华人民共和国境内提供的货物须包含：</w:t>
      </w:r>
    </w:p>
    <w:p w14:paraId="18B12222">
      <w:pPr>
        <w:spacing w:line="312" w:lineRule="auto"/>
        <w:ind w:firstLine="424" w:firstLineChars="202"/>
        <w:rPr>
          <w:rFonts w:ascii="宋体" w:hAnsi="宋体" w:eastAsia="宋体"/>
        </w:rPr>
      </w:pPr>
      <w:r>
        <w:rPr>
          <w:rFonts w:ascii="宋体" w:hAnsi="宋体" w:eastAsia="宋体"/>
        </w:rPr>
        <w:t>14.3.1.1</w:t>
      </w:r>
      <w:r>
        <w:rPr>
          <w:rFonts w:hint="eastAsia" w:ascii="宋体" w:hAnsi="宋体" w:eastAsia="宋体"/>
        </w:rPr>
        <w:t>投标产品价；</w:t>
      </w:r>
    </w:p>
    <w:p w14:paraId="0413DA41">
      <w:pPr>
        <w:spacing w:line="312" w:lineRule="auto"/>
        <w:ind w:firstLine="424" w:firstLineChars="202"/>
        <w:rPr>
          <w:rFonts w:ascii="宋体" w:hAnsi="宋体" w:eastAsia="宋体"/>
        </w:rPr>
      </w:pPr>
      <w:r>
        <w:rPr>
          <w:rFonts w:ascii="宋体" w:hAnsi="宋体" w:eastAsia="宋体"/>
        </w:rPr>
        <w:t>14.3.1.2</w:t>
      </w:r>
      <w:r>
        <w:rPr>
          <w:rFonts w:hint="eastAsia" w:ascii="宋体" w:hAnsi="宋体" w:eastAsia="宋体"/>
        </w:rPr>
        <w:t>除应包括要向中华人民共和国政府缴纳的增值税和其它税，还应包括对以下①、②两项已缴纳或应缴纳的全部关税、增值税和其它税：</w:t>
      </w:r>
    </w:p>
    <w:p w14:paraId="4EC718D7">
      <w:pPr>
        <w:spacing w:line="312" w:lineRule="auto"/>
        <w:ind w:firstLine="424" w:firstLineChars="202"/>
        <w:rPr>
          <w:rFonts w:ascii="宋体" w:hAnsi="宋体" w:eastAsia="宋体"/>
        </w:rPr>
      </w:pPr>
      <w:r>
        <w:rPr>
          <w:rFonts w:hint="eastAsia" w:ascii="宋体" w:hAnsi="宋体" w:eastAsia="宋体"/>
        </w:rPr>
        <w:t>① 报价的货物在制造或组装时使用的部件和原材料是从境外进口的；</w:t>
      </w:r>
    </w:p>
    <w:p w14:paraId="2856D937">
      <w:pPr>
        <w:spacing w:line="312" w:lineRule="auto"/>
        <w:ind w:firstLine="424" w:firstLineChars="202"/>
        <w:rPr>
          <w:rFonts w:ascii="宋体" w:hAnsi="宋体" w:eastAsia="宋体"/>
        </w:rPr>
      </w:pPr>
      <w:r>
        <w:rPr>
          <w:rFonts w:hint="eastAsia" w:ascii="宋体" w:hAnsi="宋体" w:eastAsia="宋体"/>
        </w:rPr>
        <w:t>② 报货架交货价的货物是从境外进口的。</w:t>
      </w:r>
    </w:p>
    <w:p w14:paraId="336E09E0">
      <w:pPr>
        <w:spacing w:line="312" w:lineRule="auto"/>
        <w:ind w:firstLine="424" w:firstLineChars="202"/>
        <w:rPr>
          <w:rFonts w:ascii="宋体" w:hAnsi="宋体" w:eastAsia="宋体"/>
        </w:rPr>
      </w:pPr>
      <w:r>
        <w:rPr>
          <w:rFonts w:ascii="宋体" w:hAnsi="宋体" w:eastAsia="宋体"/>
        </w:rPr>
        <w:t>14.3.1.3</w:t>
      </w:r>
      <w:r>
        <w:rPr>
          <w:rFonts w:hint="eastAsia" w:ascii="宋体" w:hAnsi="宋体" w:eastAsia="宋体"/>
        </w:rPr>
        <w:t>报投标资料表中列出的其他伴随服务的费用和标准附件价、备品备件及专用工具价(如有)。</w:t>
      </w:r>
    </w:p>
    <w:p w14:paraId="6B507042">
      <w:pPr>
        <w:spacing w:line="312" w:lineRule="auto"/>
        <w:ind w:firstLine="424" w:firstLineChars="202"/>
        <w:rPr>
          <w:rFonts w:ascii="宋体" w:hAnsi="宋体" w:eastAsia="宋体"/>
        </w:rPr>
      </w:pPr>
      <w:r>
        <w:rPr>
          <w:rFonts w:hint="eastAsia" w:ascii="宋体" w:hAnsi="宋体" w:eastAsia="宋体"/>
        </w:rPr>
        <w:t>14.3.2 从中华人民共和国境外提供的货物须包含：</w:t>
      </w:r>
    </w:p>
    <w:p w14:paraId="428AC336">
      <w:pPr>
        <w:spacing w:line="312" w:lineRule="auto"/>
        <w:ind w:firstLine="424" w:firstLineChars="202"/>
        <w:rPr>
          <w:rFonts w:ascii="宋体" w:hAnsi="宋体" w:eastAsia="宋体"/>
        </w:rPr>
      </w:pPr>
      <w:r>
        <w:rPr>
          <w:rFonts w:ascii="宋体" w:hAnsi="宋体" w:eastAsia="宋体"/>
        </w:rPr>
        <w:t>14.3.2.1</w:t>
      </w:r>
      <w:r>
        <w:rPr>
          <w:rFonts w:hint="eastAsia" w:ascii="宋体" w:hAnsi="宋体" w:eastAsia="宋体"/>
        </w:rPr>
        <w:t>投标产品价；</w:t>
      </w:r>
    </w:p>
    <w:p w14:paraId="4DA10D67">
      <w:pPr>
        <w:spacing w:line="312" w:lineRule="auto"/>
        <w:ind w:firstLine="424" w:firstLineChars="202"/>
        <w:rPr>
          <w:rFonts w:ascii="宋体" w:hAnsi="宋体" w:eastAsia="宋体"/>
        </w:rPr>
      </w:pPr>
      <w:r>
        <w:rPr>
          <w:rFonts w:ascii="宋体" w:hAnsi="宋体" w:eastAsia="宋体"/>
        </w:rPr>
        <w:t>14.3.2.2</w:t>
      </w:r>
      <w:r>
        <w:rPr>
          <w:rFonts w:hint="eastAsia" w:ascii="宋体" w:hAnsi="宋体" w:eastAsia="宋体"/>
        </w:rPr>
        <w:t>除应包括要向中华人民共和国政府缴纳的增值税和其它税，如果投标资料表中另有规定，还应包括货物从境外进口己缴纳或应缴纳的全部关税、增值税和其它税；</w:t>
      </w:r>
    </w:p>
    <w:p w14:paraId="44C5277D">
      <w:pPr>
        <w:spacing w:line="312" w:lineRule="auto"/>
        <w:ind w:firstLine="424" w:firstLineChars="202"/>
        <w:rPr>
          <w:rFonts w:ascii="宋体" w:hAnsi="宋体" w:eastAsia="宋体"/>
        </w:rPr>
      </w:pPr>
      <w:r>
        <w:rPr>
          <w:rFonts w:ascii="宋体" w:hAnsi="宋体" w:eastAsia="宋体"/>
        </w:rPr>
        <w:t>14.3.2.3</w:t>
      </w:r>
      <w:r>
        <w:rPr>
          <w:rFonts w:hint="eastAsia" w:ascii="宋体" w:hAnsi="宋体" w:eastAsia="宋体"/>
        </w:rPr>
        <w:t>报货物境外离岸价格、国外运输费、国外运输保险费；</w:t>
      </w:r>
    </w:p>
    <w:p w14:paraId="074568C2">
      <w:pPr>
        <w:spacing w:line="312" w:lineRule="auto"/>
        <w:ind w:firstLine="424" w:firstLineChars="202"/>
        <w:rPr>
          <w:rFonts w:ascii="宋体" w:hAnsi="宋体" w:eastAsia="宋体"/>
        </w:rPr>
      </w:pPr>
      <w:r>
        <w:rPr>
          <w:rFonts w:ascii="宋体" w:hAnsi="宋体" w:eastAsia="宋体"/>
        </w:rPr>
        <w:t>14.3.2.4</w:t>
      </w:r>
      <w:r>
        <w:rPr>
          <w:rFonts w:hint="eastAsia" w:ascii="宋体" w:hAnsi="宋体" w:eastAsia="宋体"/>
        </w:rPr>
        <w:t>报投标资料表中列出的其他伴随服务费用和标准附件价、备品备件及专用工具价(如有)。</w:t>
      </w:r>
    </w:p>
    <w:p w14:paraId="13A4DE84">
      <w:pPr>
        <w:spacing w:line="312" w:lineRule="auto"/>
        <w:ind w:firstLine="424" w:firstLineChars="202"/>
        <w:rPr>
          <w:rFonts w:ascii="宋体" w:hAnsi="宋体" w:eastAsia="宋体"/>
        </w:rPr>
      </w:pPr>
      <w:r>
        <w:rPr>
          <w:rFonts w:hint="eastAsia" w:ascii="宋体" w:hAnsi="宋体" w:eastAsia="宋体"/>
        </w:rPr>
        <w:t>14.4 报价表内容应包含：（适用服务类项目）</w:t>
      </w:r>
    </w:p>
    <w:p w14:paraId="6F02A41E">
      <w:pPr>
        <w:spacing w:line="312" w:lineRule="auto"/>
        <w:ind w:firstLine="424" w:firstLineChars="202"/>
        <w:rPr>
          <w:rFonts w:ascii="宋体" w:hAnsi="宋体" w:eastAsia="宋体"/>
        </w:rPr>
      </w:pPr>
      <w:r>
        <w:rPr>
          <w:rFonts w:hint="eastAsia" w:ascii="宋体" w:hAnsi="宋体" w:eastAsia="宋体"/>
        </w:rPr>
        <w:t>14.4.1 竞争性磋商文件要求完成全部服务所需的费用；</w:t>
      </w:r>
    </w:p>
    <w:p w14:paraId="700C2623">
      <w:pPr>
        <w:spacing w:line="312" w:lineRule="auto"/>
        <w:ind w:firstLine="424" w:firstLineChars="202"/>
        <w:rPr>
          <w:rFonts w:ascii="宋体" w:hAnsi="宋体" w:eastAsia="宋体"/>
        </w:rPr>
      </w:pPr>
      <w:r>
        <w:rPr>
          <w:rFonts w:hint="eastAsia" w:ascii="宋体" w:hAnsi="宋体" w:eastAsia="宋体"/>
        </w:rPr>
        <w:t>14.4.2 磋商报价包含履行合同所有相关服务所需的费用；</w:t>
      </w:r>
    </w:p>
    <w:p w14:paraId="1D5F0C45">
      <w:pPr>
        <w:spacing w:line="312" w:lineRule="auto"/>
        <w:ind w:firstLine="424" w:firstLineChars="202"/>
        <w:rPr>
          <w:rFonts w:ascii="宋体" w:hAnsi="宋体" w:eastAsia="宋体"/>
        </w:rPr>
      </w:pPr>
      <w:r>
        <w:rPr>
          <w:rFonts w:hint="eastAsia" w:ascii="宋体" w:hAnsi="宋体" w:eastAsia="宋体"/>
        </w:rPr>
        <w:t>14.4.3 磋商报价均应包含所有的税费；</w:t>
      </w:r>
    </w:p>
    <w:p w14:paraId="652F2493">
      <w:pPr>
        <w:spacing w:line="312" w:lineRule="auto"/>
        <w:ind w:firstLine="424" w:firstLineChars="202"/>
        <w:rPr>
          <w:rFonts w:ascii="宋体" w:hAnsi="宋体" w:eastAsia="宋体"/>
        </w:rPr>
      </w:pPr>
      <w:r>
        <w:rPr>
          <w:rFonts w:hint="eastAsia" w:ascii="宋体" w:hAnsi="宋体" w:eastAsia="宋体"/>
        </w:rPr>
        <w:t>14.4.4 其他一切隐含及不可预见的费用；</w:t>
      </w:r>
    </w:p>
    <w:p w14:paraId="13D78236">
      <w:pPr>
        <w:spacing w:line="312" w:lineRule="auto"/>
        <w:ind w:firstLine="424" w:firstLineChars="202"/>
        <w:rPr>
          <w:rFonts w:ascii="宋体" w:hAnsi="宋体" w:eastAsia="宋体"/>
        </w:rPr>
      </w:pPr>
      <w:r>
        <w:rPr>
          <w:rFonts w:hint="eastAsia" w:ascii="宋体" w:hAnsi="宋体" w:eastAsia="宋体"/>
        </w:rPr>
        <w:t>14.5 投标报价为本次磋商内容的费用，即为合同价，不得在成交后提出任何增加费用要求，响应供应商在投标时应充分考虑相关风险性因素。</w:t>
      </w:r>
    </w:p>
    <w:p w14:paraId="573028D1">
      <w:pPr>
        <w:spacing w:line="312" w:lineRule="auto"/>
        <w:ind w:firstLine="424" w:firstLineChars="202"/>
        <w:rPr>
          <w:rFonts w:ascii="宋体" w:hAnsi="宋体" w:eastAsia="宋体"/>
        </w:rPr>
      </w:pPr>
      <w:r>
        <w:rPr>
          <w:rFonts w:hint="eastAsia" w:ascii="宋体" w:hAnsi="宋体" w:eastAsia="宋体"/>
        </w:rPr>
        <w:t>14.6 响应供应商在成交并签署合同后，服务期限内出现的任何遗漏，均由成交供应商负责，采购人将不再支付任何费用。</w:t>
      </w:r>
    </w:p>
    <w:p w14:paraId="7D4B2658">
      <w:pPr>
        <w:spacing w:line="312" w:lineRule="auto"/>
        <w:ind w:firstLine="424" w:firstLineChars="202"/>
        <w:rPr>
          <w:rFonts w:ascii="宋体" w:hAnsi="宋体" w:eastAsia="宋体"/>
        </w:rPr>
      </w:pPr>
      <w:r>
        <w:rPr>
          <w:rFonts w:hint="eastAsia" w:ascii="宋体" w:hAnsi="宋体" w:eastAsia="宋体"/>
        </w:rPr>
        <w:t>14.7 对于报价免费的内容须标明“免费”。</w:t>
      </w:r>
    </w:p>
    <w:p w14:paraId="6A1E773C">
      <w:pPr>
        <w:spacing w:line="312" w:lineRule="auto"/>
        <w:ind w:firstLine="424" w:firstLineChars="202"/>
        <w:rPr>
          <w:rFonts w:ascii="宋体" w:hAnsi="宋体" w:eastAsia="宋体"/>
        </w:rPr>
      </w:pPr>
      <w:r>
        <w:rPr>
          <w:rFonts w:hint="eastAsia" w:ascii="宋体" w:hAnsi="宋体" w:eastAsia="宋体"/>
        </w:rPr>
        <w:t>14.8 响应供应商根据本须知“报价表内容应包含”规定将报价分成几部分，只是为了方便对响应文件进行比较，并不限制采购人以上述任何条件订立合同的权力。</w:t>
      </w:r>
    </w:p>
    <w:p w14:paraId="706869A1">
      <w:pPr>
        <w:spacing w:line="312" w:lineRule="auto"/>
        <w:ind w:firstLine="424" w:firstLineChars="202"/>
        <w:rPr>
          <w:rFonts w:ascii="宋体" w:hAnsi="宋体" w:eastAsia="宋体"/>
        </w:rPr>
      </w:pPr>
      <w:r>
        <w:rPr>
          <w:rFonts w:hint="eastAsia" w:ascii="宋体" w:hAnsi="宋体" w:eastAsia="宋体"/>
        </w:rPr>
        <w:t>14.9 除磋商资料表中另有规定，响应供应商所报的磋商价在合同执行过程中是固定不变的，不得以任何理由予以变更。任何包含价格调整要求的磋商被认为是非实质性响应磋商而予以拒绝。</w:t>
      </w:r>
    </w:p>
    <w:p w14:paraId="7F7FB705">
      <w:pPr>
        <w:spacing w:line="312" w:lineRule="auto"/>
        <w:ind w:firstLine="424" w:firstLineChars="202"/>
        <w:rPr>
          <w:rFonts w:ascii="宋体" w:hAnsi="宋体" w:eastAsia="宋体"/>
        </w:rPr>
      </w:pPr>
      <w:r>
        <w:rPr>
          <w:rFonts w:hint="eastAsia" w:ascii="宋体" w:hAnsi="宋体" w:eastAsia="宋体"/>
        </w:rPr>
        <w:t>14.10 除磋商资料表中允许有备选方案外，本次磋商不接受选择性报价，否则将被视为无效报价。</w:t>
      </w:r>
    </w:p>
    <w:p w14:paraId="6609E348">
      <w:pPr>
        <w:spacing w:line="312" w:lineRule="auto"/>
        <w:ind w:firstLine="424" w:firstLineChars="202"/>
        <w:rPr>
          <w:rFonts w:ascii="宋体" w:hAnsi="宋体" w:eastAsia="宋体"/>
        </w:rPr>
      </w:pPr>
      <w:r>
        <w:rPr>
          <w:rFonts w:hint="eastAsia" w:ascii="宋体" w:hAnsi="宋体" w:eastAsia="宋体"/>
        </w:rPr>
        <w:t>14.11 除磋商资料表另有规定外，本次磋商不接受具有附加条件的报价，否则将被视为无效报价。</w:t>
      </w:r>
    </w:p>
    <w:p w14:paraId="593863E1">
      <w:pPr>
        <w:spacing w:line="312" w:lineRule="auto"/>
        <w:rPr>
          <w:rFonts w:ascii="宋体" w:hAnsi="宋体" w:eastAsia="宋体"/>
          <w:b/>
        </w:rPr>
      </w:pPr>
      <w:r>
        <w:rPr>
          <w:rFonts w:hint="eastAsia" w:ascii="宋体" w:hAnsi="宋体" w:eastAsia="宋体"/>
          <w:b/>
        </w:rPr>
        <w:t>15、投标货币</w:t>
      </w:r>
    </w:p>
    <w:p w14:paraId="6089D0C1">
      <w:pPr>
        <w:spacing w:line="312" w:lineRule="auto"/>
        <w:ind w:firstLine="420" w:firstLineChars="200"/>
        <w:rPr>
          <w:rFonts w:ascii="宋体" w:hAnsi="宋体" w:eastAsia="宋体"/>
        </w:rPr>
      </w:pPr>
      <w:r>
        <w:rPr>
          <w:rFonts w:hint="eastAsia" w:ascii="宋体" w:hAnsi="宋体" w:eastAsia="宋体"/>
        </w:rPr>
        <w:t>15.1 响应供应商所提供的货物或服务均应以人民币报价。</w:t>
      </w:r>
    </w:p>
    <w:p w14:paraId="4D883411">
      <w:pPr>
        <w:spacing w:line="312" w:lineRule="auto"/>
        <w:rPr>
          <w:rFonts w:ascii="宋体" w:hAnsi="宋体" w:eastAsia="宋体"/>
          <w:b/>
        </w:rPr>
      </w:pPr>
      <w:r>
        <w:rPr>
          <w:rFonts w:hint="eastAsia" w:ascii="宋体" w:hAnsi="宋体" w:eastAsia="宋体"/>
          <w:b/>
        </w:rPr>
        <w:t>16、联合体投标</w:t>
      </w:r>
    </w:p>
    <w:p w14:paraId="13DCEADB">
      <w:pPr>
        <w:spacing w:line="312" w:lineRule="auto"/>
        <w:ind w:firstLine="420" w:firstLineChars="200"/>
        <w:rPr>
          <w:rFonts w:ascii="宋体" w:hAnsi="宋体" w:eastAsia="宋体"/>
        </w:rPr>
      </w:pPr>
      <w:r>
        <w:rPr>
          <w:rFonts w:hint="eastAsia" w:ascii="宋体" w:hAnsi="宋体" w:eastAsia="宋体"/>
        </w:rPr>
        <w:t>16.1 除非磋商邀请中另有规定，不接受联合体投标。如果磋商邀请中规定允许联合体投标的，则必须满足：</w:t>
      </w:r>
    </w:p>
    <w:p w14:paraId="589E39B7">
      <w:pPr>
        <w:spacing w:line="312" w:lineRule="auto"/>
        <w:ind w:firstLine="424" w:firstLineChars="202"/>
        <w:rPr>
          <w:rFonts w:ascii="宋体" w:hAnsi="宋体" w:eastAsia="宋体"/>
        </w:rPr>
      </w:pPr>
      <w:r>
        <w:rPr>
          <w:rFonts w:hint="eastAsia" w:ascii="宋体" w:hAnsi="宋体" w:eastAsia="宋体"/>
        </w:rPr>
        <w:t>16.1.1 以联合体形式参加磋商的，联合体各方均必须符合本须知“合格的响应供应商”的一般规定，并至少有一方符合满足“合格的响应供应商”的特殊条款要求；</w:t>
      </w:r>
    </w:p>
    <w:p w14:paraId="0230F74D">
      <w:pPr>
        <w:spacing w:line="312" w:lineRule="auto"/>
        <w:ind w:firstLine="424" w:firstLineChars="202"/>
        <w:rPr>
          <w:rFonts w:ascii="宋体" w:hAnsi="宋体" w:eastAsia="宋体"/>
        </w:rPr>
      </w:pPr>
      <w:r>
        <w:rPr>
          <w:rFonts w:hint="eastAsia" w:ascii="宋体" w:hAnsi="宋体" w:eastAsia="宋体"/>
        </w:rPr>
        <w:t>16.1.2 以联合体形式参加政府采购活动的，联合体各方不得再单独参加或者与其他供应商另外组成联合体参加同一合同项下的政府采购活动。</w:t>
      </w:r>
    </w:p>
    <w:p w14:paraId="053A6EAE">
      <w:pPr>
        <w:spacing w:line="312" w:lineRule="auto"/>
        <w:ind w:firstLine="424" w:firstLineChars="202"/>
        <w:rPr>
          <w:rFonts w:ascii="宋体" w:hAnsi="宋体" w:eastAsia="宋体"/>
        </w:rPr>
      </w:pPr>
      <w:r>
        <w:rPr>
          <w:rFonts w:hint="eastAsia" w:ascii="宋体" w:hAnsi="宋体" w:eastAsia="宋体"/>
        </w:rPr>
        <w:t>16.1.3 联合体投标的，必须提供各方签订的共同联合体协议，明确约定各方承担的工作和相应的责任。联合体各方签订共同联合体协议后，不得再以自己名义单独在同一项目（或包组）中磋商，也不得组成新的联合体参加同一项目（或包组）磋商；</w:t>
      </w:r>
    </w:p>
    <w:p w14:paraId="3905F324">
      <w:pPr>
        <w:spacing w:line="312" w:lineRule="auto"/>
        <w:ind w:firstLine="424" w:firstLineChars="202"/>
        <w:rPr>
          <w:rFonts w:ascii="宋体" w:hAnsi="宋体" w:eastAsia="宋体"/>
        </w:rPr>
      </w:pPr>
      <w:r>
        <w:rPr>
          <w:rFonts w:hint="eastAsia" w:ascii="宋体" w:hAnsi="宋体" w:eastAsia="宋体"/>
        </w:rPr>
        <w:t>16.1.4 联合体中有同类资质的响应供应商按照联合体分工承担相同工作的，应当按照资质等级较低的响应供应商确定资质等级。</w:t>
      </w:r>
    </w:p>
    <w:p w14:paraId="77A7726C">
      <w:pPr>
        <w:spacing w:line="312" w:lineRule="auto"/>
        <w:ind w:firstLine="424" w:firstLineChars="202"/>
        <w:rPr>
          <w:rFonts w:ascii="宋体" w:hAnsi="宋体" w:eastAsia="宋体"/>
        </w:rPr>
      </w:pPr>
      <w:r>
        <w:rPr>
          <w:rFonts w:hint="eastAsia" w:ascii="宋体" w:hAnsi="宋体" w:eastAsia="宋体"/>
        </w:rPr>
        <w:t>16.1.5 联合体投标的，可以由联合体中的一方或者共同提交磋商保证金，以一方名义提交磋商保证金的，对联合体各方均具有约束力。</w:t>
      </w:r>
      <w:r>
        <w:rPr>
          <w:rFonts w:hint="eastAsia" w:ascii="宋体" w:hAnsi="宋体" w:eastAsia="宋体"/>
          <w:b/>
        </w:rPr>
        <w:t>（如有）</w:t>
      </w:r>
    </w:p>
    <w:p w14:paraId="1410447F">
      <w:pPr>
        <w:spacing w:line="312" w:lineRule="auto"/>
        <w:ind w:firstLine="424" w:firstLineChars="202"/>
        <w:rPr>
          <w:rFonts w:ascii="宋体" w:hAnsi="宋体" w:eastAsia="宋体"/>
        </w:rPr>
      </w:pPr>
      <w:r>
        <w:rPr>
          <w:rFonts w:hint="eastAsia" w:ascii="宋体" w:hAnsi="宋体" w:eastAsia="宋体"/>
        </w:rPr>
        <w:t>16.1.6 联合体成交的，联合体各方应当共同与采购人签订合同。</w:t>
      </w:r>
    </w:p>
    <w:p w14:paraId="2F40DD5E">
      <w:pPr>
        <w:spacing w:line="312" w:lineRule="auto"/>
        <w:rPr>
          <w:rFonts w:ascii="宋体" w:hAnsi="宋体" w:eastAsia="宋体"/>
          <w:b/>
        </w:rPr>
      </w:pPr>
      <w:r>
        <w:rPr>
          <w:rFonts w:hint="eastAsia" w:ascii="宋体" w:hAnsi="宋体" w:eastAsia="宋体"/>
          <w:b/>
        </w:rPr>
        <w:t>17、证明响应供应商合格和资格的文件</w:t>
      </w:r>
    </w:p>
    <w:p w14:paraId="60B33434">
      <w:pPr>
        <w:spacing w:line="312" w:lineRule="auto"/>
        <w:ind w:firstLine="420" w:firstLineChars="200"/>
        <w:rPr>
          <w:rFonts w:ascii="宋体" w:hAnsi="宋体" w:eastAsia="宋体"/>
        </w:rPr>
      </w:pPr>
      <w:r>
        <w:rPr>
          <w:rFonts w:hint="eastAsia" w:ascii="宋体" w:hAnsi="宋体" w:eastAsia="宋体"/>
        </w:rPr>
        <w:t>17.1 响应供应商应提交证明其有资格参加磋商和成交后有能力履行合同的文件，并作为其响应文件的一部分。如果响应供应商为联合体，应提交联合体各方的资格证明文件、共同联合体协议并注明主体方及各方拟承担的工作和责任。否则，将导致其磋商报价无效。</w:t>
      </w:r>
    </w:p>
    <w:p w14:paraId="4643C4EF">
      <w:pPr>
        <w:spacing w:line="312" w:lineRule="auto"/>
        <w:ind w:firstLine="420" w:firstLineChars="200"/>
        <w:rPr>
          <w:rFonts w:ascii="宋体" w:hAnsi="宋体" w:eastAsia="宋体"/>
        </w:rPr>
      </w:pPr>
      <w:r>
        <w:rPr>
          <w:rFonts w:hint="eastAsia" w:ascii="宋体" w:hAnsi="宋体" w:eastAsia="宋体"/>
        </w:rPr>
        <w:t>17.2 响应供应商提交的资格证明文件应证明其满足本须知定义的合格响应供应商。</w:t>
      </w:r>
    </w:p>
    <w:p w14:paraId="558954B9">
      <w:pPr>
        <w:spacing w:line="312" w:lineRule="auto"/>
        <w:rPr>
          <w:rFonts w:ascii="宋体" w:hAnsi="宋体" w:eastAsia="宋体"/>
          <w:b/>
        </w:rPr>
      </w:pPr>
      <w:r>
        <w:rPr>
          <w:rFonts w:hint="eastAsia" w:ascii="宋体" w:hAnsi="宋体" w:eastAsia="宋体"/>
          <w:b/>
        </w:rPr>
        <w:t>18、证明货物或服务的合格性和符合竞争性磋商文件规定的文件</w:t>
      </w:r>
    </w:p>
    <w:p w14:paraId="15CBAA36">
      <w:pPr>
        <w:spacing w:line="312" w:lineRule="auto"/>
        <w:ind w:firstLine="424" w:firstLineChars="202"/>
        <w:rPr>
          <w:rFonts w:ascii="宋体" w:hAnsi="宋体" w:eastAsia="宋体"/>
        </w:rPr>
      </w:pPr>
      <w:r>
        <w:rPr>
          <w:rFonts w:ascii="宋体" w:hAnsi="宋体" w:eastAsia="宋体"/>
        </w:rPr>
        <w:t>18.1</w:t>
      </w:r>
      <w:r>
        <w:rPr>
          <w:rFonts w:hint="eastAsia" w:ascii="宋体" w:hAnsi="宋体" w:eastAsia="宋体"/>
        </w:rPr>
        <w:t>响应供应商应提交证明文件，证明其磋商的货物或服务的合格性符合竞争性磋商文件规定。该证明文件作为响应文件的一部分。</w:t>
      </w:r>
    </w:p>
    <w:p w14:paraId="76FFA204">
      <w:pPr>
        <w:spacing w:line="312" w:lineRule="auto"/>
        <w:ind w:firstLine="424" w:firstLineChars="202"/>
        <w:rPr>
          <w:rFonts w:ascii="宋体" w:hAnsi="宋体" w:eastAsia="宋体"/>
        </w:rPr>
      </w:pPr>
      <w:r>
        <w:rPr>
          <w:rFonts w:ascii="宋体" w:hAnsi="宋体" w:eastAsia="宋体"/>
        </w:rPr>
        <w:t>18.2</w:t>
      </w:r>
      <w:r>
        <w:rPr>
          <w:rFonts w:hint="eastAsia" w:ascii="宋体" w:hAnsi="宋体" w:eastAsia="宋体"/>
        </w:rPr>
        <w:t>证明货物或服务与竞争性磋商文件的要求相一致的文件，可以是文字资料、图纸和数据，它包括：</w:t>
      </w:r>
    </w:p>
    <w:p w14:paraId="7099A85A">
      <w:pPr>
        <w:spacing w:line="312" w:lineRule="auto"/>
        <w:ind w:firstLine="424" w:firstLineChars="202"/>
        <w:rPr>
          <w:rFonts w:ascii="宋体" w:hAnsi="宋体" w:eastAsia="宋体"/>
        </w:rPr>
      </w:pPr>
      <w:r>
        <w:rPr>
          <w:rFonts w:hint="eastAsia" w:ascii="宋体" w:hAnsi="宋体" w:eastAsia="宋体"/>
        </w:rPr>
        <w:t>18.2.1 货物主要技术指标和性能的详细说明；服务主要内容、方案、质量、标准指标等的详细说明；</w:t>
      </w:r>
    </w:p>
    <w:p w14:paraId="1751C99F">
      <w:pPr>
        <w:spacing w:line="312" w:lineRule="auto"/>
        <w:ind w:firstLine="424" w:firstLineChars="202"/>
        <w:rPr>
          <w:rFonts w:ascii="宋体" w:hAnsi="宋体" w:eastAsia="宋体"/>
        </w:rPr>
      </w:pPr>
      <w:r>
        <w:rPr>
          <w:rFonts w:hint="eastAsia" w:ascii="宋体" w:hAnsi="宋体" w:eastAsia="宋体"/>
        </w:rPr>
        <w:t>18.2.2 货物正常使用所必须的备件和专用工具清单，包括备件和专用工具的货源及现行价格；（适用货物类项目）</w:t>
      </w:r>
    </w:p>
    <w:p w14:paraId="186D16F5">
      <w:pPr>
        <w:spacing w:line="312" w:lineRule="auto"/>
        <w:ind w:firstLine="424" w:firstLineChars="202"/>
        <w:rPr>
          <w:rFonts w:ascii="宋体" w:hAnsi="宋体" w:eastAsia="宋体"/>
        </w:rPr>
      </w:pPr>
      <w:r>
        <w:rPr>
          <w:rFonts w:hint="eastAsia" w:ascii="宋体" w:hAnsi="宋体" w:eastAsia="宋体"/>
        </w:rPr>
        <w:t>18.2.3 对照竞争性磋商文件货物或服务内容与要求，逐条说明所提供货物或服务已对竞争性磋商文件的采购内容与要求作出了实质性的响应，并申明与采购内容与要求条文的偏差和例外。特别对有具体参数要求的指标，响应供应商须提供所投服务的具体参数值。响应供应商在阐述时应注意竞争性磋商文件的采购内容、要求和标准，响应供应商在磋商中要实质上满足或优于竞争性磋商文件的要求。</w:t>
      </w:r>
    </w:p>
    <w:p w14:paraId="21F0158D">
      <w:pPr>
        <w:spacing w:line="312" w:lineRule="auto"/>
        <w:rPr>
          <w:rFonts w:ascii="宋体" w:hAnsi="宋体" w:eastAsia="宋体"/>
          <w:b/>
        </w:rPr>
      </w:pPr>
      <w:r>
        <w:rPr>
          <w:rFonts w:hint="eastAsia" w:ascii="宋体" w:hAnsi="宋体" w:eastAsia="宋体"/>
          <w:b/>
        </w:rPr>
        <w:t>19、投标保证金</w:t>
      </w:r>
    </w:p>
    <w:p w14:paraId="7DFB6ADC">
      <w:pPr>
        <w:spacing w:line="312" w:lineRule="auto"/>
        <w:ind w:firstLine="420" w:firstLineChars="200"/>
        <w:rPr>
          <w:rFonts w:ascii="宋体" w:hAnsi="宋体" w:eastAsia="宋体"/>
        </w:rPr>
      </w:pPr>
      <w:r>
        <w:rPr>
          <w:rFonts w:hint="eastAsia" w:ascii="宋体" w:hAnsi="宋体" w:eastAsia="宋体"/>
        </w:rPr>
        <w:t>根据《云财采购〔2021〕33号 云浮市财政局关于进一步优化政府采购营商环境的通知》规定，本项目不收取投标保证金。</w:t>
      </w:r>
    </w:p>
    <w:p w14:paraId="325C3B92">
      <w:pPr>
        <w:spacing w:line="312" w:lineRule="auto"/>
        <w:rPr>
          <w:rFonts w:ascii="宋体" w:hAnsi="宋体" w:eastAsia="宋体"/>
          <w:b/>
        </w:rPr>
      </w:pPr>
      <w:r>
        <w:rPr>
          <w:rFonts w:hint="eastAsia" w:ascii="宋体" w:hAnsi="宋体" w:eastAsia="宋体"/>
          <w:b/>
        </w:rPr>
        <w:t>20、磋商有效期</w:t>
      </w:r>
    </w:p>
    <w:p w14:paraId="62382008">
      <w:pPr>
        <w:spacing w:line="312" w:lineRule="auto"/>
        <w:ind w:firstLine="420" w:firstLineChars="200"/>
        <w:rPr>
          <w:rFonts w:ascii="宋体" w:hAnsi="宋体" w:eastAsia="宋体"/>
        </w:rPr>
      </w:pPr>
      <w:r>
        <w:rPr>
          <w:rFonts w:hint="eastAsia" w:ascii="宋体" w:hAnsi="宋体" w:eastAsia="宋体"/>
        </w:rPr>
        <w:t>20.1 磋商应自磋商资料表中规定的响应文件递交截止时间起，并在磋商资料表中所述期限内保持有效。磋商有效期不足的磋商将被视为非实质性响应，视为无效响应。</w:t>
      </w:r>
    </w:p>
    <w:p w14:paraId="7A0C78E4">
      <w:pPr>
        <w:spacing w:line="312" w:lineRule="auto"/>
        <w:ind w:firstLine="420" w:firstLineChars="200"/>
        <w:rPr>
          <w:rFonts w:ascii="宋体" w:hAnsi="宋体" w:eastAsia="宋体"/>
        </w:rPr>
      </w:pPr>
      <w:r>
        <w:rPr>
          <w:rFonts w:hint="eastAsia" w:ascii="宋体" w:hAnsi="宋体" w:eastAsia="宋体"/>
        </w:rPr>
        <w:t>20.2 特殊情况下，在原磋商有效期截止之前，政府采购代理机构可要求响应供应商延长磋商有效期。这种要求与答复均应以书面形式提交。响应供应商可拒绝政府采购代理机构的这种要求，其投标保证金（如有）将予以退还，但其磋商在原磋商有效期期满后将不再有效。同意延长磋商有效期的响应供应商将不会被要求和允许修正其磋商，而只会被要求相应地延长其投标保证金（如有）的有效期。在这种情况下，本须知有关投标保证金（如有）的退还和不予退还的规定将在延长了的有效期内继续有效。</w:t>
      </w:r>
    </w:p>
    <w:p w14:paraId="62FEF605">
      <w:pPr>
        <w:spacing w:line="312" w:lineRule="auto"/>
        <w:rPr>
          <w:rFonts w:ascii="宋体" w:hAnsi="宋体" w:eastAsia="宋体"/>
          <w:b/>
        </w:rPr>
      </w:pPr>
      <w:r>
        <w:rPr>
          <w:rFonts w:hint="eastAsia" w:ascii="宋体" w:hAnsi="宋体" w:eastAsia="宋体"/>
          <w:b/>
        </w:rPr>
        <w:t>21、响应文件的式样和签署</w:t>
      </w:r>
    </w:p>
    <w:p w14:paraId="763637D7">
      <w:pPr>
        <w:spacing w:line="312" w:lineRule="auto"/>
        <w:ind w:firstLine="424" w:firstLineChars="202"/>
        <w:rPr>
          <w:rFonts w:ascii="宋体" w:hAnsi="宋体" w:eastAsia="宋体"/>
        </w:rPr>
      </w:pPr>
      <w:r>
        <w:rPr>
          <w:rFonts w:hint="eastAsia" w:ascii="宋体" w:hAnsi="宋体" w:eastAsia="宋体"/>
        </w:rPr>
        <w:t>21.1 响应供应商应准备一份响应文件正本和磋商资料表中规定数目的副本，响应文件的副本可采用正本的复印件。每套响应文件须清楚地标明“正本”或“副本”。若副本与正本不符，以正本为准。</w:t>
      </w:r>
    </w:p>
    <w:p w14:paraId="43EF5980">
      <w:pPr>
        <w:spacing w:line="312" w:lineRule="auto"/>
        <w:ind w:firstLine="424" w:firstLineChars="202"/>
        <w:rPr>
          <w:rFonts w:ascii="宋体" w:hAnsi="宋体" w:eastAsia="宋体"/>
        </w:rPr>
      </w:pPr>
      <w:r>
        <w:rPr>
          <w:rFonts w:hint="eastAsia" w:ascii="宋体" w:hAnsi="宋体" w:eastAsia="宋体"/>
        </w:rPr>
        <w:t>21.2 响应文件的签署</w:t>
      </w:r>
    </w:p>
    <w:p w14:paraId="3B0DF61C">
      <w:pPr>
        <w:spacing w:line="312" w:lineRule="auto"/>
        <w:ind w:firstLine="424" w:firstLineChars="202"/>
        <w:rPr>
          <w:rFonts w:ascii="宋体" w:hAnsi="宋体" w:eastAsia="宋体"/>
        </w:rPr>
      </w:pPr>
      <w:r>
        <w:rPr>
          <w:rFonts w:hint="eastAsia" w:ascii="宋体" w:hAnsi="宋体" w:eastAsia="宋体"/>
        </w:rPr>
        <w:t>21.2.1 响应文件的正本需打印或用不褪色墨水书写，竞争性磋商文件要求签名的由法定代表人或经其正式授权的代表签字。响应文件每一页均要求加盖响应供应商公章，副本可以复印，与正本具有同等法律效力。授权代表须将以书面形式出具的《法定代表人授权委托书》附在响应文件中。</w:t>
      </w:r>
    </w:p>
    <w:p w14:paraId="2B7FF2B2">
      <w:pPr>
        <w:spacing w:line="312" w:lineRule="auto"/>
        <w:ind w:firstLine="424" w:firstLineChars="202"/>
        <w:rPr>
          <w:rFonts w:ascii="宋体" w:hAnsi="宋体" w:eastAsia="宋体"/>
        </w:rPr>
      </w:pPr>
      <w:r>
        <w:rPr>
          <w:rFonts w:hint="eastAsia" w:ascii="宋体" w:hAnsi="宋体" w:eastAsia="宋体"/>
        </w:rPr>
        <w:t>21.2.2 响应文件中的任何重要的插字、涂改和增删，必须由法定代表人或经其正式授权的代表在旁边签章或签字才有效。</w:t>
      </w:r>
    </w:p>
    <w:p w14:paraId="1CCCFA4D">
      <w:pPr>
        <w:pStyle w:val="3"/>
        <w:rPr>
          <w:rFonts w:ascii="宋体" w:hAnsi="宋体" w:eastAsia="宋体"/>
        </w:rPr>
      </w:pPr>
      <w:bookmarkStart w:id="18" w:name="_Toc152927353"/>
      <w:r>
        <w:rPr>
          <w:rFonts w:hint="eastAsia" w:ascii="宋体" w:hAnsi="宋体" w:eastAsia="宋体"/>
        </w:rPr>
        <w:t>四、响应文件的递交</w:t>
      </w:r>
      <w:bookmarkEnd w:id="18"/>
    </w:p>
    <w:p w14:paraId="754DF8CD">
      <w:pPr>
        <w:spacing w:line="312" w:lineRule="auto"/>
        <w:rPr>
          <w:rFonts w:ascii="宋体" w:hAnsi="宋体" w:eastAsia="宋体"/>
          <w:b/>
        </w:rPr>
      </w:pPr>
      <w:r>
        <w:rPr>
          <w:rFonts w:hint="eastAsia" w:ascii="宋体" w:hAnsi="宋体" w:eastAsia="宋体"/>
          <w:b/>
        </w:rPr>
        <w:t>22、响应文件的密封和标记</w:t>
      </w:r>
    </w:p>
    <w:p w14:paraId="3CEB5038">
      <w:pPr>
        <w:spacing w:line="312" w:lineRule="auto"/>
        <w:ind w:firstLine="424" w:firstLineChars="202"/>
        <w:rPr>
          <w:rFonts w:ascii="宋体" w:hAnsi="宋体" w:eastAsia="宋体"/>
        </w:rPr>
      </w:pPr>
      <w:r>
        <w:rPr>
          <w:rFonts w:hint="eastAsia" w:ascii="宋体" w:hAnsi="宋体" w:eastAsia="宋体"/>
        </w:rPr>
        <w:t>22.1响应文件封装：</w:t>
      </w:r>
    </w:p>
    <w:p w14:paraId="2A7B2527">
      <w:pPr>
        <w:spacing w:line="312" w:lineRule="auto"/>
        <w:ind w:firstLine="424" w:firstLineChars="202"/>
        <w:rPr>
          <w:rFonts w:ascii="宋体" w:hAnsi="宋体" w:eastAsia="宋体"/>
        </w:rPr>
      </w:pPr>
      <w:r>
        <w:rPr>
          <w:rFonts w:hint="eastAsia" w:ascii="宋体" w:hAnsi="宋体" w:eastAsia="宋体"/>
        </w:rPr>
        <w:t>22.1.1 清楚写明响应供应商名称和地址。</w:t>
      </w:r>
    </w:p>
    <w:p w14:paraId="5EEDC93E">
      <w:pPr>
        <w:spacing w:line="312" w:lineRule="auto"/>
        <w:ind w:firstLine="424" w:firstLineChars="202"/>
        <w:rPr>
          <w:rFonts w:ascii="宋体" w:hAnsi="宋体" w:eastAsia="宋体"/>
        </w:rPr>
      </w:pPr>
      <w:r>
        <w:rPr>
          <w:rFonts w:hint="eastAsia" w:ascii="宋体" w:hAnsi="宋体" w:eastAsia="宋体"/>
        </w:rPr>
        <w:t>22.1.2 注明磋商邀请中指明的项目名称、项目编号、包组号（如有）和“在(竞争性磋商文件中规定的响应文件递交截止日期和时间)之前不得启封”的字样。</w:t>
      </w:r>
    </w:p>
    <w:p w14:paraId="0C227638">
      <w:pPr>
        <w:spacing w:line="312" w:lineRule="auto"/>
        <w:ind w:firstLine="424" w:firstLineChars="202"/>
        <w:rPr>
          <w:rFonts w:ascii="宋体" w:hAnsi="宋体" w:eastAsia="宋体"/>
        </w:rPr>
      </w:pPr>
      <w:r>
        <w:rPr>
          <w:rFonts w:hint="eastAsia" w:ascii="宋体" w:hAnsi="宋体" w:eastAsia="宋体"/>
        </w:rPr>
        <w:t>22.2 如果未按本须知上款要求加写标记和密封，政府采购代理机构对误投或提前启封概不负责。</w:t>
      </w:r>
    </w:p>
    <w:p w14:paraId="1763E41C">
      <w:pPr>
        <w:spacing w:line="312" w:lineRule="auto"/>
        <w:rPr>
          <w:rFonts w:ascii="宋体" w:hAnsi="宋体" w:eastAsia="宋体"/>
          <w:b/>
        </w:rPr>
      </w:pPr>
      <w:r>
        <w:rPr>
          <w:rFonts w:hint="eastAsia" w:ascii="宋体" w:hAnsi="宋体" w:eastAsia="宋体"/>
          <w:b/>
        </w:rPr>
        <w:t>23、响应文件递交截止期</w:t>
      </w:r>
    </w:p>
    <w:p w14:paraId="63FB235B">
      <w:pPr>
        <w:spacing w:line="312" w:lineRule="auto"/>
        <w:ind w:firstLine="420" w:firstLineChars="200"/>
        <w:rPr>
          <w:rFonts w:ascii="宋体" w:hAnsi="宋体" w:eastAsia="宋体"/>
        </w:rPr>
      </w:pPr>
      <w:r>
        <w:rPr>
          <w:rFonts w:hint="eastAsia" w:ascii="宋体" w:hAnsi="宋体" w:eastAsia="宋体"/>
        </w:rPr>
        <w:t>23.1 响应供应商应在磋商资料表中规定的截止日期和时间前，将响应文件递交至磋商资料表中指明的地点。在截止时间后送达的响应文件为无效文件，招标采购单位或者磋商小组应当拒绝。</w:t>
      </w:r>
    </w:p>
    <w:p w14:paraId="25E769EC">
      <w:pPr>
        <w:spacing w:line="312" w:lineRule="auto"/>
        <w:rPr>
          <w:rFonts w:ascii="宋体" w:hAnsi="宋体" w:eastAsia="宋体"/>
          <w:b/>
        </w:rPr>
      </w:pPr>
      <w:r>
        <w:rPr>
          <w:rFonts w:hint="eastAsia" w:ascii="宋体" w:hAnsi="宋体" w:eastAsia="宋体"/>
          <w:b/>
        </w:rPr>
        <w:t>24、响应文件的修改和撤回、撤销</w:t>
      </w:r>
    </w:p>
    <w:p w14:paraId="6643D0B0">
      <w:pPr>
        <w:spacing w:line="312" w:lineRule="auto"/>
        <w:ind w:firstLine="420" w:firstLineChars="200"/>
        <w:rPr>
          <w:rFonts w:ascii="宋体" w:hAnsi="宋体" w:eastAsia="宋体"/>
        </w:rPr>
      </w:pPr>
      <w:r>
        <w:rPr>
          <w:rFonts w:hint="eastAsia" w:ascii="宋体" w:hAnsi="宋体" w:eastAsia="宋体"/>
        </w:rPr>
        <w:t>24.1 响应供应商在响应文件递交截止时间前，可以对所递交的响应文件进行补充、修改或者撤回，并书面通知招标采购单位。补充、修改的内容应当按竞争性磋商文件要求签署、盖章，并作为响应文件的组成部分。补充、修改的内容和响应文件不一致的，以补充、修改的内容为准。在响应文件递交截止期时点之后，响应供应商不得对其响应文件做任何修改和补充。</w:t>
      </w:r>
    </w:p>
    <w:p w14:paraId="66F6D766">
      <w:pPr>
        <w:spacing w:line="312" w:lineRule="auto"/>
        <w:ind w:firstLine="420" w:firstLineChars="200"/>
        <w:rPr>
          <w:rFonts w:ascii="宋体" w:hAnsi="宋体" w:eastAsia="宋体"/>
        </w:rPr>
      </w:pPr>
      <w:r>
        <w:rPr>
          <w:rFonts w:hint="eastAsia" w:ascii="宋体" w:hAnsi="宋体" w:eastAsia="宋体"/>
        </w:rPr>
        <w:t>24.2 除响应供应商提交最后报价之前根据磋商情况退出磋商的情形外，响应供应商在投标截止后或在竞争性磋商文件中规定的磋商有效期内不可撤销其投标。</w:t>
      </w:r>
    </w:p>
    <w:p w14:paraId="291AD276">
      <w:pPr>
        <w:pStyle w:val="3"/>
        <w:rPr>
          <w:rFonts w:ascii="宋体" w:hAnsi="宋体" w:eastAsia="宋体"/>
        </w:rPr>
      </w:pPr>
      <w:bookmarkStart w:id="19" w:name="_Toc152927354"/>
      <w:r>
        <w:rPr>
          <w:rFonts w:hint="eastAsia" w:ascii="宋体" w:hAnsi="宋体" w:eastAsia="宋体"/>
        </w:rPr>
        <w:t>五、竞争性磋商流程</w:t>
      </w:r>
      <w:bookmarkEnd w:id="19"/>
    </w:p>
    <w:p w14:paraId="35940D5B">
      <w:pPr>
        <w:spacing w:line="312" w:lineRule="auto"/>
        <w:rPr>
          <w:rFonts w:ascii="宋体" w:hAnsi="宋体" w:eastAsia="宋体"/>
          <w:b/>
        </w:rPr>
      </w:pPr>
      <w:r>
        <w:rPr>
          <w:rFonts w:hint="eastAsia" w:ascii="宋体" w:hAnsi="宋体" w:eastAsia="宋体"/>
          <w:b/>
        </w:rPr>
        <w:t>25、响应文件的拆封</w:t>
      </w:r>
    </w:p>
    <w:p w14:paraId="77B639EA">
      <w:pPr>
        <w:spacing w:line="312" w:lineRule="auto"/>
        <w:ind w:firstLine="420" w:firstLineChars="200"/>
        <w:rPr>
          <w:rFonts w:ascii="宋体" w:hAnsi="宋体" w:eastAsia="宋体"/>
        </w:rPr>
      </w:pPr>
      <w:r>
        <w:rPr>
          <w:rFonts w:hint="eastAsia" w:ascii="宋体" w:hAnsi="宋体" w:eastAsia="宋体"/>
        </w:rPr>
        <w:t>25.1 政府采购代理机构在磋商邀请中规定的日期、时间和地点组织磋商。</w:t>
      </w:r>
    </w:p>
    <w:p w14:paraId="26B82666">
      <w:pPr>
        <w:spacing w:line="312" w:lineRule="auto"/>
        <w:ind w:firstLine="420" w:firstLineChars="200"/>
        <w:rPr>
          <w:rFonts w:ascii="宋体" w:hAnsi="宋体" w:eastAsia="宋体"/>
        </w:rPr>
      </w:pPr>
      <w:r>
        <w:rPr>
          <w:rFonts w:hint="eastAsia" w:ascii="宋体" w:hAnsi="宋体" w:eastAsia="宋体"/>
        </w:rPr>
        <w:t>25.2 响应文件拆封在竞争性磋商文件规定的开标时间进行，拆封地点为竞争性磋商文件中预先确定的开标地点。</w:t>
      </w:r>
    </w:p>
    <w:p w14:paraId="0001ACAE">
      <w:pPr>
        <w:spacing w:line="312" w:lineRule="auto"/>
        <w:ind w:firstLine="420" w:firstLineChars="200"/>
        <w:rPr>
          <w:rFonts w:ascii="宋体" w:hAnsi="宋体" w:eastAsia="宋体"/>
        </w:rPr>
      </w:pPr>
      <w:r>
        <w:rPr>
          <w:rFonts w:hint="eastAsia" w:ascii="宋体" w:hAnsi="宋体" w:eastAsia="宋体"/>
        </w:rPr>
        <w:t>25.3 响应文件递交截止时间后，由全体响应供应商对全部响应文件的密封情况进行检查。</w:t>
      </w:r>
    </w:p>
    <w:p w14:paraId="3D0AEBD1">
      <w:pPr>
        <w:spacing w:line="312" w:lineRule="auto"/>
        <w:rPr>
          <w:rFonts w:ascii="宋体" w:hAnsi="宋体" w:eastAsia="宋体"/>
          <w:b/>
        </w:rPr>
      </w:pPr>
      <w:r>
        <w:rPr>
          <w:rFonts w:hint="eastAsia" w:ascii="宋体" w:hAnsi="宋体" w:eastAsia="宋体"/>
          <w:b/>
        </w:rPr>
        <w:t>26、磋商小组</w:t>
      </w:r>
    </w:p>
    <w:p w14:paraId="468A51D2">
      <w:pPr>
        <w:spacing w:line="312" w:lineRule="auto"/>
        <w:ind w:firstLine="420" w:firstLineChars="200"/>
        <w:rPr>
          <w:rFonts w:ascii="宋体" w:hAnsi="宋体" w:eastAsia="宋体"/>
        </w:rPr>
      </w:pPr>
      <w:r>
        <w:rPr>
          <w:rFonts w:hint="eastAsia" w:ascii="宋体" w:hAnsi="宋体" w:eastAsia="宋体"/>
        </w:rPr>
        <w:t>26.1 磋商由依照政府采购法律、法规、规章、政策的规定，组建的磋商小组负责。磋商小组按政府采购规定由采购人代表和相关专业的专家组成，采购人代表人数、专家人数构成将按照磋商资料表中确定。磋商小组成员依法从政府采购评审专家库中随机抽取。</w:t>
      </w:r>
    </w:p>
    <w:p w14:paraId="7170FB0F">
      <w:pPr>
        <w:spacing w:line="312" w:lineRule="auto"/>
        <w:ind w:firstLine="420" w:firstLineChars="200"/>
        <w:rPr>
          <w:rFonts w:ascii="宋体" w:hAnsi="宋体" w:eastAsia="宋体"/>
        </w:rPr>
      </w:pPr>
      <w:r>
        <w:rPr>
          <w:rFonts w:hint="eastAsia" w:ascii="宋体" w:hAnsi="宋体" w:eastAsia="宋体"/>
        </w:rPr>
        <w:t>26.2 磋商小组名单在磋商结果确定前严格保密。评审专家有下列情形之一的，受到邀请应主动提出回避，采购当事人也可以要求该评审专家回避：</w:t>
      </w:r>
    </w:p>
    <w:p w14:paraId="1F545FBF">
      <w:pPr>
        <w:spacing w:line="312" w:lineRule="auto"/>
        <w:ind w:firstLine="420" w:firstLineChars="200"/>
        <w:rPr>
          <w:rFonts w:ascii="宋体" w:hAnsi="宋体" w:eastAsia="宋体"/>
        </w:rPr>
      </w:pPr>
      <w:r>
        <w:rPr>
          <w:rFonts w:hint="eastAsia" w:ascii="宋体" w:hAnsi="宋体" w:eastAsia="宋体"/>
        </w:rPr>
        <w:t>26.2.1 磋商小组中，同一任职单位评审专家超过二名的；</w:t>
      </w:r>
    </w:p>
    <w:p w14:paraId="07E0D53A">
      <w:pPr>
        <w:spacing w:line="312" w:lineRule="auto"/>
        <w:ind w:firstLine="424" w:firstLineChars="202"/>
        <w:rPr>
          <w:rFonts w:ascii="宋体" w:hAnsi="宋体" w:eastAsia="宋体"/>
        </w:rPr>
      </w:pPr>
      <w:r>
        <w:rPr>
          <w:rFonts w:hint="eastAsia" w:ascii="宋体" w:hAnsi="宋体" w:eastAsia="宋体"/>
        </w:rPr>
        <w:t>26.2.2 参与竞争性磋商文件论证的；</w:t>
      </w:r>
    </w:p>
    <w:p w14:paraId="57CD3891">
      <w:pPr>
        <w:spacing w:line="312" w:lineRule="auto"/>
        <w:ind w:firstLine="424" w:firstLineChars="202"/>
        <w:rPr>
          <w:rFonts w:ascii="宋体" w:hAnsi="宋体" w:eastAsia="宋体"/>
        </w:rPr>
      </w:pPr>
      <w:r>
        <w:rPr>
          <w:rFonts w:hint="eastAsia" w:ascii="宋体" w:hAnsi="宋体" w:eastAsia="宋体"/>
        </w:rPr>
        <w:t>26.2.3 参加采购活动前3年内与供应商存在劳动关系；</w:t>
      </w:r>
    </w:p>
    <w:p w14:paraId="01DD7077">
      <w:pPr>
        <w:spacing w:line="312" w:lineRule="auto"/>
        <w:ind w:firstLine="424" w:firstLineChars="202"/>
        <w:rPr>
          <w:rFonts w:ascii="宋体" w:hAnsi="宋体" w:eastAsia="宋体"/>
        </w:rPr>
      </w:pPr>
      <w:r>
        <w:rPr>
          <w:rFonts w:hint="eastAsia" w:ascii="宋体" w:hAnsi="宋体" w:eastAsia="宋体"/>
        </w:rPr>
        <w:t>26.2.4 参加采购活动前3年内担任供应商的董事、监事；</w:t>
      </w:r>
    </w:p>
    <w:p w14:paraId="13C552F4">
      <w:pPr>
        <w:spacing w:line="312" w:lineRule="auto"/>
        <w:ind w:firstLine="424" w:firstLineChars="202"/>
        <w:rPr>
          <w:rFonts w:ascii="宋体" w:hAnsi="宋体" w:eastAsia="宋体"/>
        </w:rPr>
      </w:pPr>
      <w:r>
        <w:rPr>
          <w:rFonts w:hint="eastAsia" w:ascii="宋体" w:hAnsi="宋体" w:eastAsia="宋体"/>
        </w:rPr>
        <w:t>26.2.5 参加采购活动前3年内是供应商的控股股东或者实际控制人；</w:t>
      </w:r>
    </w:p>
    <w:p w14:paraId="6F004285">
      <w:pPr>
        <w:spacing w:line="312" w:lineRule="auto"/>
        <w:ind w:firstLine="424" w:firstLineChars="202"/>
        <w:rPr>
          <w:rFonts w:ascii="宋体" w:hAnsi="宋体" w:eastAsia="宋体"/>
        </w:rPr>
      </w:pPr>
      <w:r>
        <w:rPr>
          <w:rFonts w:hint="eastAsia" w:ascii="宋体" w:hAnsi="宋体" w:eastAsia="宋体"/>
        </w:rPr>
        <w:t>26.2.6 与供应商的法定代表人或者负责人有夫妻、直系血亲、三代以内旁系血亲或者近姻亲关系；</w:t>
      </w:r>
    </w:p>
    <w:p w14:paraId="55272902">
      <w:pPr>
        <w:spacing w:line="312" w:lineRule="auto"/>
        <w:ind w:firstLine="424" w:firstLineChars="202"/>
        <w:rPr>
          <w:rFonts w:ascii="宋体" w:hAnsi="宋体" w:eastAsia="宋体"/>
        </w:rPr>
      </w:pPr>
      <w:r>
        <w:rPr>
          <w:rFonts w:hint="eastAsia" w:ascii="宋体" w:hAnsi="宋体" w:eastAsia="宋体"/>
        </w:rPr>
        <w:t>26.2.7 与供应商有其他可能影响政府采购活动公平、公正进行的关系。</w:t>
      </w:r>
    </w:p>
    <w:p w14:paraId="074CFEB0">
      <w:pPr>
        <w:spacing w:line="312" w:lineRule="auto"/>
        <w:rPr>
          <w:rFonts w:ascii="宋体" w:hAnsi="宋体" w:eastAsia="宋体"/>
          <w:b/>
        </w:rPr>
      </w:pPr>
      <w:r>
        <w:rPr>
          <w:rFonts w:hint="eastAsia" w:ascii="宋体" w:hAnsi="宋体" w:eastAsia="宋体"/>
          <w:b/>
        </w:rPr>
        <w:t>27、磋商过程</w:t>
      </w:r>
    </w:p>
    <w:p w14:paraId="57744868">
      <w:pPr>
        <w:spacing w:line="312" w:lineRule="auto"/>
        <w:ind w:firstLine="420" w:firstLineChars="200"/>
        <w:rPr>
          <w:rFonts w:ascii="宋体" w:hAnsi="宋体" w:eastAsia="宋体"/>
        </w:rPr>
      </w:pPr>
      <w:r>
        <w:rPr>
          <w:rFonts w:hint="eastAsia" w:ascii="宋体" w:hAnsi="宋体" w:eastAsia="宋体"/>
        </w:rPr>
        <w:t>27.1 磋商小组应当对响应文件的有效性、完整性和响应程度进行评审。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w:t>
      </w:r>
    </w:p>
    <w:p w14:paraId="1272D232">
      <w:pPr>
        <w:spacing w:line="312" w:lineRule="auto"/>
        <w:ind w:firstLine="420" w:firstLineChars="200"/>
        <w:rPr>
          <w:rFonts w:ascii="宋体" w:hAnsi="宋体" w:eastAsia="宋体"/>
        </w:rPr>
      </w:pPr>
      <w:r>
        <w:rPr>
          <w:rFonts w:hint="eastAsia" w:ascii="宋体" w:hAnsi="宋体" w:eastAsia="宋体"/>
        </w:rPr>
        <w:t>27.2 资格、符合性评审详见竞争性磋商文件第三章的《资格性、符合性评审表》，未能通过资格性、符合性审查被认定为无效响应，磋商小组应当现场告知有关供应商。只有全部满足《资格性和符合性审查表》所列各项要求的投标才是有效投标，只要不满足资格性和符合性条款中所列各项要求之一的，将被认定为无效投标。对投标有效性认定意见不一致的，磋商小组按照少数服从多数的原则确定。</w:t>
      </w:r>
    </w:p>
    <w:p w14:paraId="7D922BF9">
      <w:pPr>
        <w:spacing w:line="312" w:lineRule="auto"/>
        <w:ind w:firstLine="420" w:firstLineChars="200"/>
        <w:rPr>
          <w:rFonts w:ascii="宋体" w:hAnsi="宋体" w:eastAsia="宋体"/>
        </w:rPr>
      </w:pPr>
      <w:r>
        <w:rPr>
          <w:rFonts w:hint="eastAsia" w:ascii="宋体" w:hAnsi="宋体" w:eastAsia="宋体"/>
        </w:rPr>
        <w:t>27.3 磋商小组所有成员应当集中与单一供应商（以响应供应商签到顺序为准）分别进行磋商，并给予所有参加磋商的响应供应商平等的磋商机会。</w:t>
      </w:r>
    </w:p>
    <w:p w14:paraId="5B97E723">
      <w:pPr>
        <w:spacing w:line="312" w:lineRule="auto"/>
        <w:ind w:firstLine="420" w:firstLineChars="200"/>
        <w:rPr>
          <w:rFonts w:ascii="宋体" w:hAnsi="宋体" w:eastAsia="宋体"/>
        </w:rPr>
      </w:pPr>
      <w:r>
        <w:rPr>
          <w:rFonts w:hint="eastAsia" w:ascii="宋体" w:hAnsi="宋体" w:eastAsia="宋体"/>
        </w:rPr>
        <w:t>27.4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实质性变动是竞争性磋商文件的有效组成部分，磋商小组应当及时以书面形式同时通知所有参加磋商的响应供应商。供应商应当按照竞争性磋商文件的变动情况和磋商小组的要求重新提交响应文件，并由其法定代表人或授权代表签字或者加盖公章。</w:t>
      </w:r>
    </w:p>
    <w:p w14:paraId="5B49D766">
      <w:pPr>
        <w:spacing w:line="312" w:lineRule="auto"/>
        <w:ind w:firstLine="420" w:firstLineChars="200"/>
        <w:rPr>
          <w:rFonts w:ascii="宋体" w:hAnsi="宋体" w:eastAsia="宋体"/>
        </w:rPr>
      </w:pPr>
      <w:r>
        <w:rPr>
          <w:rFonts w:hint="eastAsia" w:ascii="宋体" w:hAnsi="宋体" w:eastAsia="宋体"/>
        </w:rPr>
        <w:t>27.5 在磋商中，磋商小组及有关当事人应当严格遵守保密原则，任何人不得透露与磋商有关的其他响应供应商的技术资料、价格和其他信息。</w:t>
      </w:r>
    </w:p>
    <w:p w14:paraId="2026CD5F">
      <w:pPr>
        <w:spacing w:line="312" w:lineRule="auto"/>
        <w:ind w:firstLine="420" w:firstLineChars="200"/>
        <w:rPr>
          <w:rFonts w:ascii="宋体" w:hAnsi="宋体" w:eastAsia="宋体"/>
        </w:rPr>
      </w:pPr>
      <w:r>
        <w:rPr>
          <w:rFonts w:hint="eastAsia" w:ascii="宋体" w:hAnsi="宋体" w:eastAsia="宋体"/>
        </w:rPr>
        <w:t>27.6 竞争性磋商文件能够详细列明采购标的的技术、服务要求的，磋商结束后，磋商小组要求所有作出实质性响应的有效供应商应在规定的时间内提交最后报价；</w:t>
      </w:r>
    </w:p>
    <w:p w14:paraId="03F7F0C4">
      <w:pPr>
        <w:spacing w:line="312" w:lineRule="auto"/>
        <w:ind w:firstLine="420" w:firstLineChars="200"/>
        <w:rPr>
          <w:rFonts w:ascii="宋体" w:hAnsi="宋体" w:eastAsia="宋体"/>
        </w:rPr>
      </w:pPr>
      <w:r>
        <w:rPr>
          <w:rFonts w:hint="eastAsia" w:ascii="宋体" w:hAnsi="宋体" w:eastAsia="宋体"/>
        </w:rPr>
        <w:t>27.7 如出现竞争性磋商文件不能详细列明采购标的的技术、服务要求，需经磋商由供应商最终设计方案或解决方案的，磋商结束后，磋商小组按照少数服从多数的原则，投票推荐3家以上供应商的设计方案或者解决方案在规定的时间内提交最后报价（最后报价时间由磋商小组视磋商进程决定）。</w:t>
      </w:r>
    </w:p>
    <w:p w14:paraId="4503D873">
      <w:pPr>
        <w:spacing w:line="312" w:lineRule="auto"/>
        <w:ind w:firstLine="420" w:firstLineChars="200"/>
        <w:rPr>
          <w:rFonts w:ascii="宋体" w:hAnsi="宋体" w:eastAsia="宋体"/>
        </w:rPr>
      </w:pPr>
      <w:r>
        <w:rPr>
          <w:rFonts w:hint="eastAsia" w:ascii="宋体" w:hAnsi="宋体" w:eastAsia="宋体"/>
        </w:rPr>
        <w:t>27.8 最后报价是供应商响应文件的有效组成部分。</w:t>
      </w:r>
    </w:p>
    <w:p w14:paraId="60938D2A">
      <w:pPr>
        <w:spacing w:line="312" w:lineRule="auto"/>
        <w:ind w:firstLine="420" w:firstLineChars="200"/>
        <w:rPr>
          <w:rFonts w:ascii="宋体" w:hAnsi="宋体" w:eastAsia="宋体"/>
        </w:rPr>
      </w:pPr>
      <w:r>
        <w:rPr>
          <w:rFonts w:hint="eastAsia" w:ascii="宋体" w:hAnsi="宋体" w:eastAsia="宋体"/>
        </w:rPr>
        <w:t>27.9 对成交供应商的价格出现明显低于或高于同业同期市场平均价的情形时，磋商小组应当在评审意见中详细说明推荐理由。</w:t>
      </w:r>
    </w:p>
    <w:p w14:paraId="73DCEC94">
      <w:pPr>
        <w:spacing w:line="312" w:lineRule="auto"/>
        <w:ind w:firstLine="420" w:firstLineChars="200"/>
        <w:rPr>
          <w:rFonts w:ascii="宋体" w:hAnsi="宋体" w:eastAsia="宋体"/>
        </w:rPr>
      </w:pPr>
      <w:r>
        <w:rPr>
          <w:rFonts w:hint="eastAsia" w:ascii="宋体" w:hAnsi="宋体" w:eastAsia="宋体"/>
        </w:rPr>
        <w:t>27.10 报价修正误差的原则如下：</w:t>
      </w:r>
    </w:p>
    <w:p w14:paraId="6C726B65">
      <w:pPr>
        <w:spacing w:line="312" w:lineRule="auto"/>
        <w:ind w:firstLine="420" w:firstLineChars="200"/>
        <w:rPr>
          <w:rFonts w:ascii="宋体" w:hAnsi="宋体" w:eastAsia="宋体"/>
        </w:rPr>
      </w:pPr>
      <w:r>
        <w:rPr>
          <w:rFonts w:hint="eastAsia" w:ascii="宋体" w:hAnsi="宋体" w:eastAsia="宋体"/>
        </w:rPr>
        <w:t>27.10.1 响应文件中的大写金额和小写金额不一致的，以大写金额为准；</w:t>
      </w:r>
    </w:p>
    <w:p w14:paraId="7412ADBB">
      <w:pPr>
        <w:spacing w:line="312" w:lineRule="auto"/>
        <w:ind w:firstLine="420" w:firstLineChars="200"/>
        <w:rPr>
          <w:rFonts w:ascii="宋体" w:hAnsi="宋体" w:eastAsia="宋体"/>
        </w:rPr>
      </w:pPr>
      <w:r>
        <w:rPr>
          <w:rFonts w:hint="eastAsia" w:ascii="宋体" w:hAnsi="宋体" w:eastAsia="宋体"/>
        </w:rPr>
        <w:t>27.10.2 总价金额与按单价汇总金额不一致的，以单价金额计算结果为准；单价金额小数点有明显错位的，应以总价为准，并修改单价；</w:t>
      </w:r>
    </w:p>
    <w:p w14:paraId="519136AF">
      <w:pPr>
        <w:spacing w:line="312" w:lineRule="auto"/>
        <w:ind w:firstLine="420" w:firstLineChars="200"/>
        <w:rPr>
          <w:rFonts w:ascii="宋体" w:hAnsi="宋体" w:eastAsia="宋体"/>
        </w:rPr>
      </w:pPr>
      <w:r>
        <w:rPr>
          <w:rFonts w:hint="eastAsia" w:ascii="宋体" w:hAnsi="宋体" w:eastAsia="宋体"/>
        </w:rPr>
        <w:t>27.10.3 对不同文字文本响应文件的解释发生异议的，以中文文本为准；</w:t>
      </w:r>
    </w:p>
    <w:p w14:paraId="2F452717">
      <w:pPr>
        <w:spacing w:line="312" w:lineRule="auto"/>
        <w:ind w:firstLine="420" w:firstLineChars="200"/>
        <w:rPr>
          <w:rFonts w:ascii="宋体" w:hAnsi="宋体" w:eastAsia="宋体"/>
        </w:rPr>
      </w:pPr>
      <w:r>
        <w:rPr>
          <w:rFonts w:hint="eastAsia" w:ascii="宋体" w:hAnsi="宋体" w:eastAsia="宋体"/>
        </w:rPr>
        <w:t>27.11 磋商小组按上述修正误差的原则调整的价格对其响应供应商具有约束力。如果响应供应商不接受修正后的价格，其报价将被拒绝。</w:t>
      </w:r>
    </w:p>
    <w:p w14:paraId="61452628">
      <w:pPr>
        <w:spacing w:line="312" w:lineRule="auto"/>
        <w:ind w:firstLine="420" w:firstLineChars="200"/>
        <w:rPr>
          <w:rFonts w:ascii="宋体" w:hAnsi="宋体" w:eastAsia="宋体"/>
        </w:rPr>
      </w:pPr>
      <w:r>
        <w:rPr>
          <w:rFonts w:hint="eastAsia" w:ascii="宋体" w:hAnsi="宋体" w:eastAsia="宋体"/>
        </w:rPr>
        <w:t>27.12 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B5A97A">
      <w:pPr>
        <w:spacing w:line="312" w:lineRule="auto"/>
        <w:ind w:firstLine="420" w:firstLineChars="200"/>
        <w:rPr>
          <w:rFonts w:ascii="宋体" w:hAnsi="宋体" w:eastAsia="宋体"/>
        </w:rPr>
      </w:pPr>
      <w:r>
        <w:rPr>
          <w:rFonts w:hint="eastAsia" w:ascii="宋体" w:hAnsi="宋体" w:eastAsia="宋体"/>
        </w:rPr>
        <w:t>27.13 出现下列情形之一的，招标采购单位终止竞争性磋商采购活动：</w:t>
      </w:r>
    </w:p>
    <w:p w14:paraId="1E171857">
      <w:pPr>
        <w:spacing w:line="312" w:lineRule="auto"/>
        <w:ind w:firstLine="420" w:firstLineChars="200"/>
        <w:rPr>
          <w:rFonts w:ascii="宋体" w:hAnsi="宋体" w:eastAsia="宋体"/>
        </w:rPr>
      </w:pPr>
      <w:r>
        <w:rPr>
          <w:rFonts w:hint="eastAsia" w:ascii="宋体" w:hAnsi="宋体" w:eastAsia="宋体"/>
        </w:rPr>
        <w:t>27.13.1 因情况变化，不再符合规定的竞争性磋商采购方式适用情形的；</w:t>
      </w:r>
    </w:p>
    <w:p w14:paraId="54B60015">
      <w:pPr>
        <w:spacing w:line="312" w:lineRule="auto"/>
        <w:ind w:firstLine="420" w:firstLineChars="200"/>
        <w:rPr>
          <w:rFonts w:ascii="宋体" w:hAnsi="宋体" w:eastAsia="宋体"/>
        </w:rPr>
      </w:pPr>
      <w:r>
        <w:rPr>
          <w:rFonts w:hint="eastAsia" w:ascii="宋体" w:hAnsi="宋体" w:eastAsia="宋体"/>
        </w:rPr>
        <w:t>27.13.2 出现影响采购公正的违法、违规行为的；</w:t>
      </w:r>
    </w:p>
    <w:p w14:paraId="61FC0203">
      <w:pPr>
        <w:spacing w:line="312" w:lineRule="auto"/>
        <w:ind w:firstLine="420" w:firstLineChars="200"/>
        <w:rPr>
          <w:rFonts w:ascii="宋体" w:hAnsi="宋体" w:eastAsia="宋体"/>
        </w:rPr>
      </w:pPr>
      <w:r>
        <w:rPr>
          <w:rFonts w:hint="eastAsia" w:ascii="宋体" w:hAnsi="宋体" w:eastAsia="宋体"/>
        </w:rPr>
        <w:t>27.13.3 除法律法规规定的情形外，在采购过程中符合要求的供应商或者报价未超过采购预算的供应商不足3家的。</w:t>
      </w:r>
    </w:p>
    <w:p w14:paraId="095CF4E5">
      <w:pPr>
        <w:spacing w:line="312" w:lineRule="auto"/>
        <w:ind w:firstLine="420" w:firstLineChars="200"/>
        <w:rPr>
          <w:rFonts w:ascii="宋体" w:hAnsi="宋体" w:eastAsia="宋体"/>
        </w:rPr>
      </w:pPr>
      <w:r>
        <w:rPr>
          <w:rFonts w:hint="eastAsia" w:ascii="宋体" w:hAnsi="宋体" w:eastAsia="宋体"/>
        </w:rPr>
        <w:t>27.14 最后报价是供应商响应文件的有效组成部分。符合“市场竞争不充分的科研项目，以及需要扶持的科技成果转化项目”情形的，提交最后报价的供应商可以为2家。</w:t>
      </w:r>
    </w:p>
    <w:p w14:paraId="437C3E63">
      <w:pPr>
        <w:spacing w:line="312" w:lineRule="auto"/>
        <w:ind w:firstLine="420" w:firstLineChars="200"/>
        <w:rPr>
          <w:rFonts w:ascii="宋体" w:hAnsi="宋体" w:eastAsia="宋体"/>
        </w:rPr>
      </w:pPr>
      <w:r>
        <w:rPr>
          <w:rFonts w:hint="eastAsia" w:ascii="宋体" w:hAnsi="宋体" w:eastAsia="宋体"/>
        </w:rPr>
        <w:t>27.15 政府购买服务项目（含政府和社会资本合作项目），在采购过程中符合要求的供应商（社会资本）只有2家的，竞争性磋商采购活动可以继续进行。</w:t>
      </w:r>
    </w:p>
    <w:p w14:paraId="22DBA946">
      <w:pPr>
        <w:spacing w:line="312" w:lineRule="auto"/>
        <w:ind w:firstLine="420" w:firstLineChars="200"/>
        <w:rPr>
          <w:rFonts w:ascii="宋体" w:hAnsi="宋体" w:eastAsia="宋体"/>
        </w:rPr>
      </w:pPr>
      <w:r>
        <w:rPr>
          <w:rFonts w:hint="eastAsia" w:ascii="宋体" w:hAnsi="宋体" w:eastAsia="宋体"/>
        </w:rPr>
        <w:t>27.16 同一品牌同一型号产品可由多家代理商参加竞争，但只作为一个响应供应商计算。</w:t>
      </w:r>
    </w:p>
    <w:p w14:paraId="3DC62FF3">
      <w:pPr>
        <w:spacing w:line="312" w:lineRule="auto"/>
        <w:rPr>
          <w:rFonts w:ascii="宋体" w:hAnsi="宋体" w:eastAsia="宋体"/>
          <w:b/>
        </w:rPr>
      </w:pPr>
      <w:r>
        <w:rPr>
          <w:rFonts w:hint="eastAsia" w:ascii="宋体" w:hAnsi="宋体" w:eastAsia="宋体"/>
          <w:b/>
        </w:rPr>
        <w:t>28、评审方法和标准</w:t>
      </w:r>
    </w:p>
    <w:p w14:paraId="0B4B019B">
      <w:pPr>
        <w:spacing w:line="312" w:lineRule="auto"/>
        <w:ind w:firstLine="424" w:firstLineChars="202"/>
        <w:rPr>
          <w:rFonts w:ascii="宋体" w:hAnsi="宋体" w:eastAsia="宋体"/>
        </w:rPr>
      </w:pPr>
      <w:r>
        <w:rPr>
          <w:rFonts w:hint="eastAsia" w:ascii="宋体" w:hAnsi="宋体" w:eastAsia="宋体"/>
        </w:rPr>
        <w:t>28.1 磋商小组将按照投标资料表中确定的评标方法和本竞争性磋商文件第三章中的评审标准进行评标。</w:t>
      </w:r>
    </w:p>
    <w:p w14:paraId="0BFE83F2">
      <w:pPr>
        <w:spacing w:line="312" w:lineRule="auto"/>
        <w:ind w:firstLine="424" w:firstLineChars="202"/>
        <w:rPr>
          <w:rFonts w:ascii="宋体" w:hAnsi="宋体" w:eastAsia="宋体"/>
        </w:rPr>
      </w:pPr>
      <w:r>
        <w:rPr>
          <w:rFonts w:hint="eastAsia" w:ascii="宋体" w:hAnsi="宋体" w:eastAsia="宋体"/>
        </w:rPr>
        <w:t>28.2 除磋商资料表另有规定的，磋商小组根据综合评分情况按照评审得分由高到低推荐3名成交候选人。评审得分相同的，按下列顺序比较确定：（1）节能产品；（2）环保产品；（3）投标报价（由低到高）；（4）技术评分（由高到低）。如以上都相同的，名次由评标委员会抽签确定。除投标资料表另有规定的，推荐综合得分排名第一的投标人为第一中标候选人，排名第二的投标人为第二中标候选人，排名第三的投标人为第三中标候选人。</w:t>
      </w:r>
    </w:p>
    <w:p w14:paraId="379CCD57">
      <w:pPr>
        <w:spacing w:line="312" w:lineRule="auto"/>
        <w:ind w:firstLine="424" w:firstLineChars="202"/>
        <w:rPr>
          <w:rFonts w:ascii="宋体" w:hAnsi="宋体" w:eastAsia="宋体"/>
        </w:rPr>
      </w:pPr>
      <w:r>
        <w:rPr>
          <w:rFonts w:hint="eastAsia" w:ascii="宋体" w:hAnsi="宋体" w:eastAsia="宋体"/>
        </w:rPr>
        <w:t>28.3 磋商小组提交评审报告和推荐成交意见报采购人确认，采购人在收到评审报告后在规定时间内，按照评审报告中推荐的成交候选人顺序确定成交供应商，也可以事先授权磋商小组直接确定成交供应商。</w:t>
      </w:r>
    </w:p>
    <w:p w14:paraId="290D1016">
      <w:pPr>
        <w:spacing w:line="312" w:lineRule="auto"/>
        <w:ind w:firstLine="424" w:firstLineChars="202"/>
        <w:rPr>
          <w:rFonts w:ascii="宋体" w:hAnsi="宋体" w:eastAsia="宋体"/>
        </w:rPr>
      </w:pPr>
      <w:r>
        <w:rPr>
          <w:rFonts w:hint="eastAsia" w:ascii="宋体" w:hAnsi="宋体" w:eastAsia="宋体"/>
        </w:rPr>
        <w:t>28.4 评审结果确定后，采购人根据需要通知评标委员会推荐的第一中标候选人在2个工作日内，按响应文件中所列清单中的相关证件、证明文件、合同和其他文件的原件送采购人核对与响应供应商响应文件中的复印件是否一致。采购人在接到原件之日起3个工作日内，核对没有不一致的，须确认成交人；核对发现有不一致或第一中标候选人没有按约定提交原件的，报监管部门核实后按按虚假应标处理。</w:t>
      </w:r>
    </w:p>
    <w:p w14:paraId="43CD3F37">
      <w:pPr>
        <w:spacing w:line="312" w:lineRule="auto"/>
        <w:rPr>
          <w:rFonts w:ascii="宋体" w:hAnsi="宋体" w:eastAsia="宋体"/>
          <w:b/>
        </w:rPr>
      </w:pPr>
      <w:r>
        <w:rPr>
          <w:rFonts w:hint="eastAsia" w:ascii="宋体" w:hAnsi="宋体" w:eastAsia="宋体"/>
          <w:b/>
        </w:rPr>
        <w:t>29、确定成交结果</w:t>
      </w:r>
    </w:p>
    <w:p w14:paraId="246F003E">
      <w:pPr>
        <w:spacing w:line="312" w:lineRule="auto"/>
        <w:ind w:firstLine="420" w:firstLineChars="200"/>
        <w:rPr>
          <w:rFonts w:ascii="宋体" w:hAnsi="宋体" w:eastAsia="宋体"/>
        </w:rPr>
      </w:pPr>
      <w:r>
        <w:rPr>
          <w:rFonts w:hint="eastAsia" w:ascii="宋体" w:hAnsi="宋体" w:eastAsia="宋体"/>
        </w:rPr>
        <w:t>29.1 成交供应商确定后，政府采购代理机构将发布采购信息公告的媒体上发布成交结果公告。不在成交名单之列者即为未成交供应商，政府采购代理机构不再以其他方式另行通知。</w:t>
      </w:r>
    </w:p>
    <w:p w14:paraId="12770312">
      <w:pPr>
        <w:spacing w:line="312" w:lineRule="auto"/>
        <w:ind w:firstLine="420" w:firstLineChars="200"/>
        <w:rPr>
          <w:rFonts w:ascii="宋体" w:hAnsi="宋体" w:eastAsia="宋体"/>
        </w:rPr>
      </w:pPr>
      <w:r>
        <w:rPr>
          <w:rFonts w:hint="eastAsia" w:ascii="宋体" w:hAnsi="宋体" w:eastAsia="宋体"/>
        </w:rPr>
        <w:t>29.2 成交结果公告后，政府采购代理机构同时向成交供应商发出《成交通知书》，向采购人及未成交供应商发出《成交结果通知书》，《成交通知书》对成交供应商和采购人具有同等法律效力。</w:t>
      </w:r>
    </w:p>
    <w:p w14:paraId="30AB888B">
      <w:pPr>
        <w:spacing w:line="312" w:lineRule="auto"/>
        <w:ind w:firstLine="420" w:firstLineChars="200"/>
        <w:rPr>
          <w:rFonts w:ascii="宋体" w:hAnsi="宋体" w:eastAsia="宋体"/>
        </w:rPr>
      </w:pPr>
      <w:r>
        <w:rPr>
          <w:rFonts w:hint="eastAsia" w:ascii="宋体" w:hAnsi="宋体" w:eastAsia="宋体"/>
        </w:rPr>
        <w:t>29.3 《成交通知书》将作为授予合同资格的合法依据，是合同的一个组成部分。</w:t>
      </w:r>
    </w:p>
    <w:p w14:paraId="1E4F80AA">
      <w:pPr>
        <w:spacing w:line="312" w:lineRule="auto"/>
        <w:rPr>
          <w:rFonts w:ascii="宋体" w:hAnsi="宋体" w:eastAsia="宋体"/>
          <w:b/>
        </w:rPr>
      </w:pPr>
      <w:r>
        <w:rPr>
          <w:rFonts w:hint="eastAsia" w:ascii="宋体" w:hAnsi="宋体" w:eastAsia="宋体"/>
          <w:b/>
        </w:rPr>
        <w:t>30、询问、质疑、投诉</w:t>
      </w:r>
    </w:p>
    <w:p w14:paraId="524FB523">
      <w:pPr>
        <w:spacing w:line="312" w:lineRule="auto"/>
        <w:ind w:firstLine="424" w:firstLineChars="202"/>
        <w:rPr>
          <w:rFonts w:ascii="宋体" w:hAnsi="宋体" w:eastAsia="宋体"/>
        </w:rPr>
      </w:pPr>
      <w:r>
        <w:rPr>
          <w:rFonts w:ascii="宋体" w:hAnsi="宋体" w:eastAsia="宋体"/>
        </w:rPr>
        <w:t>30.1</w:t>
      </w:r>
      <w:r>
        <w:rPr>
          <w:rFonts w:hint="eastAsia" w:ascii="宋体" w:hAnsi="宋体" w:eastAsia="宋体"/>
        </w:rPr>
        <w:t>询问</w:t>
      </w:r>
    </w:p>
    <w:p w14:paraId="6EDE4E51">
      <w:pPr>
        <w:spacing w:line="312" w:lineRule="auto"/>
        <w:ind w:firstLine="424" w:firstLineChars="202"/>
        <w:rPr>
          <w:rFonts w:ascii="宋体" w:hAnsi="宋体" w:eastAsia="宋体"/>
        </w:rPr>
      </w:pPr>
      <w:r>
        <w:rPr>
          <w:rFonts w:hint="eastAsia" w:ascii="宋体" w:hAnsi="宋体" w:eastAsia="宋体"/>
        </w:rPr>
        <w:t>30.1.1 供应商对政府采购活动事项有疑问的，可以向招标采购单位提出询问，询问可以口头方式提出，也可以书面方式提出。</w:t>
      </w:r>
    </w:p>
    <w:p w14:paraId="6FC61F84">
      <w:pPr>
        <w:spacing w:line="312" w:lineRule="auto"/>
        <w:ind w:firstLine="424" w:firstLineChars="202"/>
        <w:rPr>
          <w:rFonts w:ascii="宋体" w:hAnsi="宋体" w:eastAsia="宋体"/>
        </w:rPr>
      </w:pPr>
      <w:r>
        <w:rPr>
          <w:rFonts w:hint="eastAsia" w:ascii="宋体" w:hAnsi="宋体" w:eastAsia="宋体"/>
        </w:rPr>
        <w:t>30.1.2 招标采购单位在三个工作日内对供应商依法提出的询问作出答复。</w:t>
      </w:r>
    </w:p>
    <w:p w14:paraId="39ED5E2F">
      <w:pPr>
        <w:spacing w:line="312" w:lineRule="auto"/>
        <w:ind w:firstLine="424" w:firstLineChars="202"/>
        <w:rPr>
          <w:rFonts w:ascii="宋体" w:hAnsi="宋体" w:eastAsia="宋体"/>
        </w:rPr>
      </w:pPr>
      <w:r>
        <w:rPr>
          <w:rFonts w:ascii="宋体" w:hAnsi="宋体" w:eastAsia="宋体"/>
        </w:rPr>
        <w:t>30.2</w:t>
      </w:r>
      <w:r>
        <w:rPr>
          <w:rFonts w:hint="eastAsia" w:ascii="宋体" w:hAnsi="宋体" w:eastAsia="宋体"/>
        </w:rPr>
        <w:t>质疑</w:t>
      </w:r>
    </w:p>
    <w:p w14:paraId="6342FFBE">
      <w:pPr>
        <w:spacing w:line="312" w:lineRule="auto"/>
        <w:ind w:firstLine="424" w:firstLineChars="202"/>
        <w:rPr>
          <w:rFonts w:ascii="宋体" w:hAnsi="宋体" w:eastAsia="宋体"/>
        </w:rPr>
      </w:pPr>
      <w:r>
        <w:rPr>
          <w:rFonts w:hint="eastAsia" w:ascii="宋体" w:hAnsi="宋体" w:eastAsia="宋体"/>
        </w:rPr>
        <w:t>30.2.1 质疑期限：</w:t>
      </w:r>
    </w:p>
    <w:p w14:paraId="47D175F9">
      <w:pPr>
        <w:spacing w:line="312" w:lineRule="auto"/>
        <w:ind w:firstLine="424" w:firstLineChars="202"/>
        <w:rPr>
          <w:rFonts w:ascii="宋体" w:hAnsi="宋体" w:eastAsia="宋体"/>
        </w:rPr>
      </w:pPr>
      <w:r>
        <w:rPr>
          <w:rFonts w:hint="eastAsia" w:ascii="宋体" w:hAnsi="宋体" w:eastAsia="宋体"/>
        </w:rPr>
        <w:t>30.2.2 供应商认为采购文件的内容损害其权益的，应在收到采购文件之日或者采购文件公告期届满之日起七个工作日内。</w:t>
      </w:r>
    </w:p>
    <w:p w14:paraId="564EE7BE">
      <w:pPr>
        <w:spacing w:line="312" w:lineRule="auto"/>
        <w:ind w:firstLine="424" w:firstLineChars="202"/>
        <w:rPr>
          <w:rFonts w:ascii="宋体" w:hAnsi="宋体" w:eastAsia="宋体"/>
        </w:rPr>
      </w:pPr>
      <w:r>
        <w:rPr>
          <w:rFonts w:hint="eastAsia" w:ascii="宋体" w:hAnsi="宋体" w:eastAsia="宋体"/>
        </w:rPr>
        <w:t>30.2.3 供应商认为采购过程损害其权益的，应在各采购程序环节结束之日起七个工作日内。</w:t>
      </w:r>
    </w:p>
    <w:p w14:paraId="1D56211C">
      <w:pPr>
        <w:spacing w:line="312" w:lineRule="auto"/>
        <w:ind w:firstLine="424" w:firstLineChars="202"/>
        <w:rPr>
          <w:rFonts w:ascii="宋体" w:hAnsi="宋体" w:eastAsia="宋体"/>
        </w:rPr>
      </w:pPr>
      <w:r>
        <w:rPr>
          <w:rFonts w:hint="eastAsia" w:ascii="宋体" w:hAnsi="宋体" w:eastAsia="宋体"/>
        </w:rPr>
        <w:t>30.2.4 供应商认为中标或者成交结果损害其权益的，应在中标或者成交结果公告期限届满之日起七个工作日内。</w:t>
      </w:r>
    </w:p>
    <w:p w14:paraId="7C99C453">
      <w:pPr>
        <w:spacing w:line="312" w:lineRule="auto"/>
        <w:ind w:firstLine="424" w:firstLineChars="202"/>
        <w:rPr>
          <w:rFonts w:ascii="宋体" w:hAnsi="宋体" w:eastAsia="宋体"/>
        </w:rPr>
      </w:pPr>
      <w:r>
        <w:rPr>
          <w:rFonts w:hint="eastAsia" w:ascii="宋体" w:hAnsi="宋体" w:eastAsia="宋体"/>
        </w:rPr>
        <w:t>30.2.5 提交要求：</w:t>
      </w:r>
    </w:p>
    <w:p w14:paraId="524BBA5C">
      <w:pPr>
        <w:spacing w:line="312" w:lineRule="auto"/>
        <w:ind w:firstLine="424" w:firstLineChars="202"/>
        <w:rPr>
          <w:rFonts w:ascii="宋体" w:hAnsi="宋体" w:eastAsia="宋体"/>
        </w:rPr>
      </w:pPr>
      <w:r>
        <w:rPr>
          <w:rFonts w:hint="eastAsia" w:ascii="宋体" w:hAnsi="宋体" w:eastAsia="宋体"/>
        </w:rPr>
        <w:t>30.2.5.1 以书面形式（加盖供应商公章，供应商以电话、传真或电邮形式提交的质疑属于无效质疑）向招标采购单位提出质疑。</w:t>
      </w:r>
    </w:p>
    <w:p w14:paraId="0E9E8A1F">
      <w:pPr>
        <w:spacing w:line="312" w:lineRule="auto"/>
        <w:ind w:firstLine="424" w:firstLineChars="202"/>
        <w:rPr>
          <w:rFonts w:ascii="宋体" w:hAnsi="宋体" w:eastAsia="宋体"/>
        </w:rPr>
      </w:pPr>
      <w:r>
        <w:rPr>
          <w:rFonts w:hint="eastAsia" w:ascii="宋体" w:hAnsi="宋体" w:eastAsia="宋体"/>
        </w:rPr>
        <w:t>30.2.5.2 质疑书内容：应包括具体的质疑事项、事实依据及相关确凿的证明材料、明确的请求、供应商名称及地址、授权代表姓名及其联系电话、质疑时间。质疑书应当署名并由法定代表人或授权代表签字并加盖公章。供应商递交质疑书时需提供质疑书原件、法定代表人授权委托书（应载明委托代理的具体权限及事项）及授权代表身份证复印件。</w:t>
      </w:r>
    </w:p>
    <w:p w14:paraId="1EA9B455">
      <w:pPr>
        <w:spacing w:line="312" w:lineRule="auto"/>
        <w:ind w:firstLine="424" w:firstLineChars="202"/>
        <w:rPr>
          <w:rFonts w:ascii="宋体" w:hAnsi="宋体" w:eastAsia="宋体"/>
        </w:rPr>
      </w:pPr>
      <w:r>
        <w:rPr>
          <w:rFonts w:hint="eastAsia" w:ascii="宋体" w:hAnsi="宋体" w:eastAsia="宋体"/>
        </w:rPr>
        <w:t>30.2.5.3 供应商质疑应当有明确的请求和必要的证明材料，捏造事实、提供虚假材料或者以非法手段取得证明材料不能作为质疑的证明材料。</w:t>
      </w:r>
    </w:p>
    <w:p w14:paraId="638BBED5">
      <w:pPr>
        <w:spacing w:line="312" w:lineRule="auto"/>
        <w:ind w:firstLine="424" w:firstLineChars="202"/>
        <w:rPr>
          <w:rFonts w:ascii="宋体" w:hAnsi="宋体" w:eastAsia="宋体"/>
        </w:rPr>
      </w:pPr>
      <w:r>
        <w:rPr>
          <w:rFonts w:hint="eastAsia" w:ascii="宋体" w:hAnsi="宋体" w:eastAsia="宋体"/>
        </w:rPr>
        <w:t>30.2.5.4 招标采购单位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22CACD0E">
      <w:pPr>
        <w:spacing w:line="312" w:lineRule="auto"/>
        <w:ind w:firstLine="424" w:firstLineChars="202"/>
        <w:rPr>
          <w:rFonts w:ascii="宋体" w:hAnsi="宋体" w:eastAsia="宋体"/>
        </w:rPr>
      </w:pPr>
      <w:r>
        <w:rPr>
          <w:rFonts w:hint="eastAsia" w:ascii="宋体" w:hAnsi="宋体" w:eastAsia="宋体"/>
        </w:rPr>
        <w:t>30.2.6 对于捏造事实、滥用维权扰乱采购秩序的恶意质疑者或举证不全查无实据被驳回次数在一年内达三次以上，将纳入不良行为记录名单并承担相应的法律责任。</w:t>
      </w:r>
    </w:p>
    <w:p w14:paraId="27F31CA1">
      <w:pPr>
        <w:spacing w:line="312" w:lineRule="auto"/>
        <w:ind w:firstLine="424" w:firstLineChars="202"/>
        <w:rPr>
          <w:rFonts w:ascii="宋体" w:hAnsi="宋体" w:eastAsia="宋体"/>
        </w:rPr>
      </w:pPr>
      <w:r>
        <w:rPr>
          <w:rFonts w:ascii="宋体" w:hAnsi="宋体" w:eastAsia="宋体"/>
        </w:rPr>
        <w:t>30.3</w:t>
      </w:r>
      <w:r>
        <w:rPr>
          <w:rFonts w:hint="eastAsia" w:ascii="宋体" w:hAnsi="宋体" w:eastAsia="宋体"/>
        </w:rPr>
        <w:t>投诉</w:t>
      </w:r>
    </w:p>
    <w:p w14:paraId="2734DA08">
      <w:pPr>
        <w:spacing w:line="312" w:lineRule="auto"/>
        <w:ind w:firstLine="424" w:firstLineChars="202"/>
        <w:rPr>
          <w:rFonts w:ascii="宋体" w:hAnsi="宋体" w:eastAsia="宋体"/>
        </w:rPr>
      </w:pPr>
      <w:r>
        <w:rPr>
          <w:rFonts w:hint="eastAsia" w:ascii="宋体" w:hAnsi="宋体" w:eastAsia="宋体"/>
        </w:rPr>
        <w:t>30.3.1 质疑供应商对招标采购单位的质疑答复不满意，或招标采购单位未在规定期限内作出答复的，可以在答复期满后十五个工作日内向同级监管部门提出投诉。</w:t>
      </w:r>
    </w:p>
    <w:p w14:paraId="2AD295AA">
      <w:pPr>
        <w:pStyle w:val="3"/>
        <w:rPr>
          <w:rFonts w:ascii="宋体" w:hAnsi="宋体" w:eastAsia="宋体"/>
        </w:rPr>
      </w:pPr>
      <w:bookmarkStart w:id="20" w:name="_Toc152927355"/>
      <w:r>
        <w:rPr>
          <w:rFonts w:hint="eastAsia" w:ascii="宋体" w:hAnsi="宋体" w:eastAsia="宋体"/>
        </w:rPr>
        <w:t>六、授予合同</w:t>
      </w:r>
      <w:bookmarkEnd w:id="20"/>
    </w:p>
    <w:p w14:paraId="49C0E0E4">
      <w:pPr>
        <w:spacing w:line="312" w:lineRule="auto"/>
        <w:rPr>
          <w:rFonts w:ascii="宋体" w:hAnsi="宋体" w:eastAsia="宋体"/>
          <w:b/>
        </w:rPr>
      </w:pPr>
      <w:r>
        <w:rPr>
          <w:rFonts w:hint="eastAsia" w:ascii="宋体" w:hAnsi="宋体" w:eastAsia="宋体"/>
          <w:b/>
        </w:rPr>
        <w:t>31、合同的订立</w:t>
      </w:r>
    </w:p>
    <w:p w14:paraId="32DAA526">
      <w:pPr>
        <w:spacing w:line="312" w:lineRule="auto"/>
        <w:ind w:firstLine="424" w:firstLineChars="202"/>
        <w:rPr>
          <w:rFonts w:ascii="宋体" w:hAnsi="宋体" w:eastAsia="宋体"/>
        </w:rPr>
      </w:pPr>
      <w:r>
        <w:rPr>
          <w:rFonts w:hint="eastAsia" w:ascii="宋体" w:hAnsi="宋体" w:eastAsia="宋体"/>
        </w:rPr>
        <w:t>31.1 除非磋商资料表另有规定， 采购人应当自成交通知书发出之日起三十日内，按照竞争性磋商文件要求和成交供应商响应文件承诺签订政府采购合同，但不得超出竞争性磋商文件和成交供应商响应文件的范围、也不得再行订立背离竞争性磋商文件确定的合同文本以及采购标的、规格型号、采购金额、采购数量、技术和服务要求等实质性内容的协议。</w:t>
      </w:r>
    </w:p>
    <w:p w14:paraId="550FA722">
      <w:pPr>
        <w:spacing w:line="312" w:lineRule="auto"/>
        <w:ind w:firstLine="424" w:firstLineChars="202"/>
        <w:rPr>
          <w:rFonts w:ascii="宋体" w:hAnsi="宋体" w:eastAsia="宋体"/>
        </w:rPr>
      </w:pPr>
      <w:r>
        <w:rPr>
          <w:rFonts w:hint="eastAsia" w:ascii="宋体" w:hAnsi="宋体" w:eastAsia="宋体"/>
        </w:rPr>
        <w:t>31.2 成交供应商拒绝签订政府采购合同的，采购人可以与排位在成交人之后第一位的中标候选人签订政府采购合同，也可以重新开展采购活动。</w:t>
      </w:r>
    </w:p>
    <w:p w14:paraId="0C8195FF">
      <w:pPr>
        <w:spacing w:line="312" w:lineRule="auto"/>
        <w:ind w:firstLine="424" w:firstLineChars="202"/>
        <w:rPr>
          <w:rFonts w:ascii="宋体" w:hAnsi="宋体" w:eastAsia="宋体"/>
        </w:rPr>
      </w:pPr>
      <w:r>
        <w:rPr>
          <w:rFonts w:hint="eastAsia" w:ascii="宋体" w:hAnsi="宋体" w:eastAsia="宋体"/>
        </w:rPr>
        <w:t>31.3 自政府采购合同签订之日起2个工作日内，采购人应将政府采购合同在省级以上人民政府财政部门指定的媒体上公告，但政府采购合同中涉及国家秘密、商业秘密的内容除外。</w:t>
      </w:r>
    </w:p>
    <w:p w14:paraId="1C4810B6">
      <w:pPr>
        <w:spacing w:line="312" w:lineRule="auto"/>
        <w:ind w:firstLine="424" w:firstLineChars="202"/>
        <w:rPr>
          <w:rFonts w:ascii="宋体" w:hAnsi="宋体" w:eastAsia="宋体"/>
        </w:rPr>
      </w:pPr>
      <w:r>
        <w:rPr>
          <w:rFonts w:hint="eastAsia" w:ascii="宋体" w:hAnsi="宋体" w:eastAsia="宋体"/>
        </w:rPr>
        <w:t>31.4 政府采购合同签订之日起七个工作日内，采购人应将政府采购合同副本报同级监管部门备案和有关部门备案。</w:t>
      </w:r>
    </w:p>
    <w:p w14:paraId="445E1A3E">
      <w:pPr>
        <w:spacing w:line="312" w:lineRule="auto"/>
        <w:rPr>
          <w:rFonts w:ascii="宋体" w:hAnsi="宋体" w:eastAsia="宋体"/>
          <w:b/>
        </w:rPr>
      </w:pPr>
      <w:r>
        <w:rPr>
          <w:rFonts w:hint="eastAsia" w:ascii="宋体" w:hAnsi="宋体" w:eastAsia="宋体"/>
          <w:b/>
        </w:rPr>
        <w:t>32、合同的履行</w:t>
      </w:r>
    </w:p>
    <w:p w14:paraId="22AC6C30">
      <w:pPr>
        <w:spacing w:line="312" w:lineRule="auto"/>
        <w:ind w:firstLine="424" w:firstLineChars="202"/>
        <w:rPr>
          <w:rFonts w:ascii="宋体" w:hAnsi="宋体" w:eastAsia="宋体"/>
        </w:rPr>
      </w:pPr>
      <w:r>
        <w:rPr>
          <w:rFonts w:hint="eastAsia" w:ascii="宋体" w:hAnsi="宋体" w:eastAsia="宋体"/>
        </w:rPr>
        <w:t>32.1 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14:paraId="29BA5C1E">
      <w:pPr>
        <w:spacing w:line="312" w:lineRule="auto"/>
        <w:ind w:firstLine="424" w:firstLineChars="202"/>
        <w:rPr>
          <w:rFonts w:ascii="宋体" w:hAnsi="宋体" w:eastAsia="宋体"/>
        </w:rPr>
      </w:pPr>
      <w:r>
        <w:rPr>
          <w:rFonts w:hint="eastAsia" w:ascii="宋体" w:hAnsi="宋体" w:eastAsia="宋体"/>
        </w:rPr>
        <w:t>32.2 政府采购合同履行中，采购人需追加与合同标的相同的货物、工程或者服务的，在不改变合同其他条款的前提下，可以与响应供应商签订补充合同，但所补充合同的采购金额不得超过原合同采购金额的百分之十。签订补充合同的必须按规定备案。</w:t>
      </w:r>
    </w:p>
    <w:p w14:paraId="2A0DE14C">
      <w:pPr>
        <w:spacing w:line="312" w:lineRule="auto"/>
        <w:rPr>
          <w:rFonts w:ascii="宋体" w:hAnsi="宋体" w:eastAsia="宋体"/>
          <w:b/>
        </w:rPr>
      </w:pPr>
      <w:r>
        <w:rPr>
          <w:rFonts w:hint="eastAsia" w:ascii="宋体" w:hAnsi="宋体" w:eastAsia="宋体"/>
          <w:b/>
        </w:rPr>
        <w:t>33 履约保证金</w:t>
      </w:r>
    </w:p>
    <w:p w14:paraId="7F039DAA">
      <w:pPr>
        <w:spacing w:line="312" w:lineRule="auto"/>
        <w:ind w:firstLine="420" w:firstLineChars="200"/>
        <w:rPr>
          <w:rFonts w:ascii="宋体" w:hAnsi="宋体" w:eastAsia="宋体"/>
        </w:rPr>
      </w:pPr>
      <w:r>
        <w:rPr>
          <w:rFonts w:hint="eastAsia" w:ascii="宋体" w:hAnsi="宋体" w:eastAsia="宋体"/>
        </w:rPr>
        <w:t>33.1 成交供应商应按照磋商资料表规定的金额，采用竞争性磋商文件中要求的形式向采购人提交履约保证金。（如有）</w:t>
      </w:r>
    </w:p>
    <w:p w14:paraId="0D75B8E5">
      <w:pPr>
        <w:spacing w:line="312" w:lineRule="auto"/>
        <w:rPr>
          <w:rFonts w:ascii="宋体" w:hAnsi="宋体" w:eastAsia="宋体"/>
          <w:b/>
        </w:rPr>
      </w:pPr>
      <w:r>
        <w:rPr>
          <w:rFonts w:hint="eastAsia" w:ascii="宋体" w:hAnsi="宋体" w:eastAsia="宋体"/>
          <w:b/>
        </w:rPr>
        <w:t>34、招标代理服务费</w:t>
      </w:r>
    </w:p>
    <w:p w14:paraId="35EB9ED5">
      <w:pPr>
        <w:spacing w:line="312" w:lineRule="auto"/>
        <w:ind w:firstLine="420" w:firstLineChars="200"/>
        <w:rPr>
          <w:rFonts w:ascii="宋体" w:hAnsi="宋体" w:eastAsia="宋体"/>
        </w:rPr>
      </w:pPr>
      <w:r>
        <w:rPr>
          <w:rFonts w:hint="eastAsia" w:ascii="宋体" w:hAnsi="宋体" w:eastAsia="宋体"/>
        </w:rPr>
        <w:t>34.1 成交供应商应按照竞争性磋商文件磋商资料表中的规定缴纳招标代理服务费。</w:t>
      </w:r>
    </w:p>
    <w:p w14:paraId="6469298F">
      <w:pPr>
        <w:spacing w:line="312" w:lineRule="auto"/>
        <w:ind w:firstLine="420" w:firstLineChars="200"/>
        <w:rPr>
          <w:rFonts w:ascii="宋体" w:hAnsi="宋体" w:eastAsia="宋体"/>
        </w:rPr>
      </w:pPr>
      <w:r>
        <w:rPr>
          <w:rFonts w:hint="eastAsia" w:ascii="宋体" w:hAnsi="宋体" w:eastAsia="宋体"/>
        </w:rPr>
        <w:t>34.2 服务费按差额定率累进法计算。</w:t>
      </w:r>
    </w:p>
    <w:tbl>
      <w:tblPr>
        <w:tblStyle w:val="40"/>
        <w:tblW w:w="97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3237"/>
        <w:gridCol w:w="2158"/>
        <w:gridCol w:w="2159"/>
        <w:gridCol w:w="2159"/>
      </w:tblGrid>
      <w:tr w14:paraId="0275D7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3237" w:type="dxa"/>
            <w:tcBorders>
              <w:tl2br w:val="single" w:color="auto" w:sz="18" w:space="0"/>
            </w:tcBorders>
          </w:tcPr>
          <w:p w14:paraId="30862791">
            <w:pPr>
              <w:spacing w:line="312" w:lineRule="auto"/>
              <w:rPr>
                <w:rFonts w:ascii="宋体" w:hAnsi="宋体" w:eastAsia="宋体"/>
              </w:rPr>
            </w:pPr>
            <w:r>
              <w:rPr>
                <w:rFonts w:hint="eastAsia" w:ascii="宋体" w:hAnsi="宋体" w:eastAsia="宋体"/>
              </w:rPr>
              <w:t xml:space="preserve">                        费率</w:t>
            </w:r>
          </w:p>
          <w:p w14:paraId="775EB1BE">
            <w:pPr>
              <w:spacing w:line="312" w:lineRule="auto"/>
              <w:rPr>
                <w:rFonts w:ascii="宋体" w:hAnsi="宋体" w:eastAsia="宋体"/>
              </w:rPr>
            </w:pPr>
            <w:r>
              <w:rPr>
                <w:rFonts w:hint="eastAsia" w:ascii="宋体" w:hAnsi="宋体" w:eastAsia="宋体"/>
              </w:rPr>
              <w:t>中标金额</w:t>
            </w:r>
          </w:p>
        </w:tc>
        <w:tc>
          <w:tcPr>
            <w:tcW w:w="2158" w:type="dxa"/>
            <w:vAlign w:val="center"/>
          </w:tcPr>
          <w:p w14:paraId="2A514848">
            <w:pPr>
              <w:spacing w:line="312" w:lineRule="auto"/>
              <w:jc w:val="center"/>
              <w:rPr>
                <w:rFonts w:ascii="宋体" w:hAnsi="宋体" w:eastAsia="宋体"/>
              </w:rPr>
            </w:pPr>
            <w:r>
              <w:rPr>
                <w:rFonts w:hint="eastAsia" w:ascii="宋体" w:hAnsi="宋体" w:eastAsia="宋体"/>
              </w:rPr>
              <w:t>货物招标</w:t>
            </w:r>
          </w:p>
        </w:tc>
        <w:tc>
          <w:tcPr>
            <w:tcW w:w="2159" w:type="dxa"/>
            <w:tcBorders>
              <w:right w:val="single" w:color="auto" w:sz="4" w:space="0"/>
            </w:tcBorders>
            <w:vAlign w:val="center"/>
          </w:tcPr>
          <w:p w14:paraId="16A55DC5">
            <w:pPr>
              <w:spacing w:line="312" w:lineRule="auto"/>
              <w:jc w:val="center"/>
              <w:rPr>
                <w:rFonts w:ascii="宋体" w:hAnsi="宋体" w:eastAsia="宋体"/>
              </w:rPr>
            </w:pPr>
            <w:r>
              <w:rPr>
                <w:rFonts w:hint="eastAsia" w:ascii="宋体" w:hAnsi="宋体" w:eastAsia="宋体"/>
              </w:rPr>
              <w:t>服务招标</w:t>
            </w:r>
          </w:p>
        </w:tc>
        <w:tc>
          <w:tcPr>
            <w:tcW w:w="2159" w:type="dxa"/>
            <w:tcBorders>
              <w:left w:val="single" w:color="auto" w:sz="4" w:space="0"/>
            </w:tcBorders>
            <w:vAlign w:val="center"/>
          </w:tcPr>
          <w:p w14:paraId="26C2BD83">
            <w:pPr>
              <w:spacing w:line="312" w:lineRule="auto"/>
              <w:jc w:val="center"/>
              <w:rPr>
                <w:rFonts w:ascii="宋体" w:hAnsi="宋体" w:eastAsia="宋体"/>
              </w:rPr>
            </w:pPr>
            <w:r>
              <w:rPr>
                <w:rFonts w:hint="eastAsia" w:ascii="宋体" w:hAnsi="宋体" w:eastAsia="宋体"/>
              </w:rPr>
              <w:t>工程招标</w:t>
            </w:r>
          </w:p>
        </w:tc>
      </w:tr>
      <w:tr w14:paraId="6CDD10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1793651E">
            <w:pPr>
              <w:spacing w:line="312" w:lineRule="auto"/>
              <w:rPr>
                <w:rFonts w:ascii="宋体" w:hAnsi="宋体" w:eastAsia="宋体"/>
              </w:rPr>
            </w:pPr>
            <w:r>
              <w:rPr>
                <w:rFonts w:hint="eastAsia" w:ascii="宋体" w:hAnsi="宋体" w:eastAsia="宋体"/>
              </w:rPr>
              <w:t>100万元以下</w:t>
            </w:r>
          </w:p>
        </w:tc>
        <w:tc>
          <w:tcPr>
            <w:tcW w:w="2158" w:type="dxa"/>
            <w:vAlign w:val="center"/>
          </w:tcPr>
          <w:p w14:paraId="3DE6701A">
            <w:pPr>
              <w:spacing w:line="312" w:lineRule="auto"/>
              <w:jc w:val="center"/>
              <w:rPr>
                <w:rFonts w:ascii="宋体" w:hAnsi="宋体" w:eastAsia="宋体"/>
              </w:rPr>
            </w:pPr>
            <w:r>
              <w:rPr>
                <w:rFonts w:hint="eastAsia" w:ascii="宋体" w:hAnsi="宋体" w:eastAsia="宋体"/>
              </w:rPr>
              <w:t>1.5%</w:t>
            </w:r>
          </w:p>
        </w:tc>
        <w:tc>
          <w:tcPr>
            <w:tcW w:w="2159" w:type="dxa"/>
            <w:tcBorders>
              <w:right w:val="single" w:color="auto" w:sz="4" w:space="0"/>
            </w:tcBorders>
            <w:vAlign w:val="center"/>
          </w:tcPr>
          <w:p w14:paraId="5741141E">
            <w:pPr>
              <w:spacing w:line="312" w:lineRule="auto"/>
              <w:jc w:val="center"/>
              <w:rPr>
                <w:rFonts w:ascii="宋体" w:hAnsi="宋体" w:eastAsia="宋体"/>
              </w:rPr>
            </w:pPr>
            <w:r>
              <w:rPr>
                <w:rFonts w:hint="eastAsia" w:ascii="宋体" w:hAnsi="宋体" w:eastAsia="宋体"/>
              </w:rPr>
              <w:t>1.5%</w:t>
            </w:r>
          </w:p>
        </w:tc>
        <w:tc>
          <w:tcPr>
            <w:tcW w:w="2159" w:type="dxa"/>
            <w:tcBorders>
              <w:left w:val="single" w:color="auto" w:sz="4" w:space="0"/>
            </w:tcBorders>
            <w:vAlign w:val="center"/>
          </w:tcPr>
          <w:p w14:paraId="205E9CBA">
            <w:pPr>
              <w:spacing w:line="312" w:lineRule="auto"/>
              <w:jc w:val="center"/>
              <w:rPr>
                <w:rFonts w:ascii="宋体" w:hAnsi="宋体" w:eastAsia="宋体"/>
              </w:rPr>
            </w:pPr>
            <w:r>
              <w:rPr>
                <w:rFonts w:hint="eastAsia" w:ascii="宋体" w:hAnsi="宋体" w:eastAsia="宋体"/>
              </w:rPr>
              <w:t>1.0%</w:t>
            </w:r>
          </w:p>
        </w:tc>
      </w:tr>
      <w:tr w14:paraId="758056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4F569F39">
            <w:pPr>
              <w:spacing w:line="312" w:lineRule="auto"/>
              <w:rPr>
                <w:rFonts w:ascii="宋体" w:hAnsi="宋体" w:eastAsia="宋体"/>
              </w:rPr>
            </w:pPr>
            <w:r>
              <w:rPr>
                <w:rFonts w:hint="eastAsia" w:ascii="宋体" w:hAnsi="宋体" w:eastAsia="宋体"/>
              </w:rPr>
              <w:t>100-500万元</w:t>
            </w:r>
          </w:p>
        </w:tc>
        <w:tc>
          <w:tcPr>
            <w:tcW w:w="2158" w:type="dxa"/>
            <w:vAlign w:val="center"/>
          </w:tcPr>
          <w:p w14:paraId="7EBAEF85">
            <w:pPr>
              <w:spacing w:line="312" w:lineRule="auto"/>
              <w:jc w:val="center"/>
              <w:rPr>
                <w:rFonts w:ascii="宋体" w:hAnsi="宋体" w:eastAsia="宋体"/>
              </w:rPr>
            </w:pPr>
            <w:r>
              <w:rPr>
                <w:rFonts w:hint="eastAsia" w:ascii="宋体" w:hAnsi="宋体" w:eastAsia="宋体"/>
              </w:rPr>
              <w:t>1.1%</w:t>
            </w:r>
          </w:p>
        </w:tc>
        <w:tc>
          <w:tcPr>
            <w:tcW w:w="2159" w:type="dxa"/>
            <w:tcBorders>
              <w:right w:val="single" w:color="auto" w:sz="4" w:space="0"/>
            </w:tcBorders>
            <w:vAlign w:val="center"/>
          </w:tcPr>
          <w:p w14:paraId="400C61C5">
            <w:pPr>
              <w:spacing w:line="312" w:lineRule="auto"/>
              <w:jc w:val="center"/>
              <w:rPr>
                <w:rFonts w:ascii="宋体" w:hAnsi="宋体" w:eastAsia="宋体"/>
              </w:rPr>
            </w:pPr>
            <w:r>
              <w:rPr>
                <w:rFonts w:hint="eastAsia" w:ascii="宋体" w:hAnsi="宋体" w:eastAsia="宋体"/>
              </w:rPr>
              <w:t>0.8%</w:t>
            </w:r>
          </w:p>
        </w:tc>
        <w:tc>
          <w:tcPr>
            <w:tcW w:w="2159" w:type="dxa"/>
            <w:tcBorders>
              <w:left w:val="single" w:color="auto" w:sz="4" w:space="0"/>
            </w:tcBorders>
            <w:vAlign w:val="center"/>
          </w:tcPr>
          <w:p w14:paraId="2421B75E">
            <w:pPr>
              <w:spacing w:line="312" w:lineRule="auto"/>
              <w:jc w:val="center"/>
              <w:rPr>
                <w:rFonts w:ascii="宋体" w:hAnsi="宋体" w:eastAsia="宋体"/>
              </w:rPr>
            </w:pPr>
            <w:r>
              <w:rPr>
                <w:rFonts w:hint="eastAsia" w:ascii="宋体" w:hAnsi="宋体" w:eastAsia="宋体"/>
              </w:rPr>
              <w:t>0.7%</w:t>
            </w:r>
          </w:p>
        </w:tc>
      </w:tr>
      <w:tr w14:paraId="74D266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3A71F16B">
            <w:pPr>
              <w:spacing w:line="312" w:lineRule="auto"/>
              <w:rPr>
                <w:rFonts w:ascii="宋体" w:hAnsi="宋体" w:eastAsia="宋体"/>
              </w:rPr>
            </w:pPr>
            <w:r>
              <w:rPr>
                <w:rFonts w:hint="eastAsia" w:ascii="宋体" w:hAnsi="宋体" w:eastAsia="宋体"/>
              </w:rPr>
              <w:t>500-1000万元</w:t>
            </w:r>
          </w:p>
        </w:tc>
        <w:tc>
          <w:tcPr>
            <w:tcW w:w="2158" w:type="dxa"/>
            <w:vAlign w:val="center"/>
          </w:tcPr>
          <w:p w14:paraId="4187744B">
            <w:pPr>
              <w:spacing w:line="312" w:lineRule="auto"/>
              <w:jc w:val="center"/>
              <w:rPr>
                <w:rFonts w:ascii="宋体" w:hAnsi="宋体" w:eastAsia="宋体"/>
              </w:rPr>
            </w:pPr>
            <w:r>
              <w:rPr>
                <w:rFonts w:hint="eastAsia" w:ascii="宋体" w:hAnsi="宋体" w:eastAsia="宋体"/>
              </w:rPr>
              <w:t>0.8%</w:t>
            </w:r>
          </w:p>
        </w:tc>
        <w:tc>
          <w:tcPr>
            <w:tcW w:w="2159" w:type="dxa"/>
            <w:tcBorders>
              <w:right w:val="single" w:color="auto" w:sz="4" w:space="0"/>
            </w:tcBorders>
            <w:vAlign w:val="center"/>
          </w:tcPr>
          <w:p w14:paraId="5D48B280">
            <w:pPr>
              <w:spacing w:line="312" w:lineRule="auto"/>
              <w:jc w:val="center"/>
              <w:rPr>
                <w:rFonts w:ascii="宋体" w:hAnsi="宋体" w:eastAsia="宋体"/>
              </w:rPr>
            </w:pPr>
            <w:r>
              <w:rPr>
                <w:rFonts w:hint="eastAsia" w:ascii="宋体" w:hAnsi="宋体" w:eastAsia="宋体"/>
              </w:rPr>
              <w:t>0.45%</w:t>
            </w:r>
          </w:p>
        </w:tc>
        <w:tc>
          <w:tcPr>
            <w:tcW w:w="2159" w:type="dxa"/>
            <w:tcBorders>
              <w:left w:val="single" w:color="auto" w:sz="4" w:space="0"/>
            </w:tcBorders>
            <w:vAlign w:val="center"/>
          </w:tcPr>
          <w:p w14:paraId="323F70C5">
            <w:pPr>
              <w:spacing w:line="312" w:lineRule="auto"/>
              <w:jc w:val="center"/>
              <w:rPr>
                <w:rFonts w:ascii="宋体" w:hAnsi="宋体" w:eastAsia="宋体"/>
              </w:rPr>
            </w:pPr>
            <w:r>
              <w:rPr>
                <w:rFonts w:hint="eastAsia" w:ascii="宋体" w:hAnsi="宋体" w:eastAsia="宋体"/>
              </w:rPr>
              <w:t>0.55%</w:t>
            </w:r>
          </w:p>
        </w:tc>
      </w:tr>
      <w:tr w14:paraId="429692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03933E91">
            <w:pPr>
              <w:spacing w:line="312" w:lineRule="auto"/>
              <w:rPr>
                <w:rFonts w:ascii="宋体" w:hAnsi="宋体" w:eastAsia="宋体"/>
              </w:rPr>
            </w:pPr>
            <w:r>
              <w:rPr>
                <w:rFonts w:hint="eastAsia" w:ascii="宋体" w:hAnsi="宋体" w:eastAsia="宋体"/>
              </w:rPr>
              <w:t>1000-5000万元</w:t>
            </w:r>
          </w:p>
        </w:tc>
        <w:tc>
          <w:tcPr>
            <w:tcW w:w="2158" w:type="dxa"/>
            <w:vAlign w:val="center"/>
          </w:tcPr>
          <w:p w14:paraId="3D01789D">
            <w:pPr>
              <w:spacing w:line="312" w:lineRule="auto"/>
              <w:jc w:val="center"/>
              <w:rPr>
                <w:rFonts w:ascii="宋体" w:hAnsi="宋体" w:eastAsia="宋体"/>
              </w:rPr>
            </w:pPr>
            <w:r>
              <w:rPr>
                <w:rFonts w:hint="eastAsia" w:ascii="宋体" w:hAnsi="宋体" w:eastAsia="宋体"/>
              </w:rPr>
              <w:t>0.5%</w:t>
            </w:r>
          </w:p>
        </w:tc>
        <w:tc>
          <w:tcPr>
            <w:tcW w:w="2159" w:type="dxa"/>
            <w:tcBorders>
              <w:right w:val="single" w:color="auto" w:sz="4" w:space="0"/>
            </w:tcBorders>
            <w:vAlign w:val="center"/>
          </w:tcPr>
          <w:p w14:paraId="51F792D0">
            <w:pPr>
              <w:spacing w:line="312" w:lineRule="auto"/>
              <w:jc w:val="center"/>
              <w:rPr>
                <w:rFonts w:ascii="宋体" w:hAnsi="宋体" w:eastAsia="宋体"/>
              </w:rPr>
            </w:pPr>
            <w:r>
              <w:rPr>
                <w:rFonts w:hint="eastAsia" w:ascii="宋体" w:hAnsi="宋体" w:eastAsia="宋体"/>
              </w:rPr>
              <w:t>0.25%</w:t>
            </w:r>
          </w:p>
        </w:tc>
        <w:tc>
          <w:tcPr>
            <w:tcW w:w="2159" w:type="dxa"/>
            <w:tcBorders>
              <w:left w:val="single" w:color="auto" w:sz="4" w:space="0"/>
            </w:tcBorders>
            <w:vAlign w:val="center"/>
          </w:tcPr>
          <w:p w14:paraId="59D8EBD1">
            <w:pPr>
              <w:spacing w:line="312" w:lineRule="auto"/>
              <w:jc w:val="center"/>
              <w:rPr>
                <w:rFonts w:ascii="宋体" w:hAnsi="宋体" w:eastAsia="宋体"/>
              </w:rPr>
            </w:pPr>
            <w:r>
              <w:rPr>
                <w:rFonts w:hint="eastAsia" w:ascii="宋体" w:hAnsi="宋体" w:eastAsia="宋体"/>
              </w:rPr>
              <w:t>0.35%</w:t>
            </w:r>
          </w:p>
        </w:tc>
      </w:tr>
      <w:tr w14:paraId="42ABA7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02DE799C">
            <w:pPr>
              <w:spacing w:line="312" w:lineRule="auto"/>
              <w:rPr>
                <w:rFonts w:ascii="宋体" w:hAnsi="宋体" w:eastAsia="宋体"/>
              </w:rPr>
            </w:pPr>
            <w:r>
              <w:rPr>
                <w:rFonts w:hint="eastAsia" w:ascii="宋体" w:hAnsi="宋体" w:eastAsia="宋体"/>
              </w:rPr>
              <w:t>5000万元-1亿元</w:t>
            </w:r>
          </w:p>
        </w:tc>
        <w:tc>
          <w:tcPr>
            <w:tcW w:w="2158" w:type="dxa"/>
            <w:vAlign w:val="center"/>
          </w:tcPr>
          <w:p w14:paraId="7172C64C">
            <w:pPr>
              <w:spacing w:line="312" w:lineRule="auto"/>
              <w:jc w:val="center"/>
              <w:rPr>
                <w:rFonts w:ascii="宋体" w:hAnsi="宋体" w:eastAsia="宋体"/>
              </w:rPr>
            </w:pPr>
            <w:r>
              <w:rPr>
                <w:rFonts w:hint="eastAsia" w:ascii="宋体" w:hAnsi="宋体" w:eastAsia="宋体"/>
              </w:rPr>
              <w:t>0.25%</w:t>
            </w:r>
          </w:p>
        </w:tc>
        <w:tc>
          <w:tcPr>
            <w:tcW w:w="2159" w:type="dxa"/>
            <w:tcBorders>
              <w:right w:val="single" w:color="auto" w:sz="4" w:space="0"/>
            </w:tcBorders>
            <w:vAlign w:val="center"/>
          </w:tcPr>
          <w:p w14:paraId="7593CC94">
            <w:pPr>
              <w:spacing w:line="312" w:lineRule="auto"/>
              <w:jc w:val="center"/>
              <w:rPr>
                <w:rFonts w:ascii="宋体" w:hAnsi="宋体" w:eastAsia="宋体"/>
              </w:rPr>
            </w:pPr>
            <w:r>
              <w:rPr>
                <w:rFonts w:hint="eastAsia" w:ascii="宋体" w:hAnsi="宋体" w:eastAsia="宋体"/>
              </w:rPr>
              <w:t>0.1%</w:t>
            </w:r>
          </w:p>
        </w:tc>
        <w:tc>
          <w:tcPr>
            <w:tcW w:w="2159" w:type="dxa"/>
            <w:tcBorders>
              <w:left w:val="single" w:color="auto" w:sz="4" w:space="0"/>
            </w:tcBorders>
            <w:vAlign w:val="center"/>
          </w:tcPr>
          <w:p w14:paraId="083B8AAB">
            <w:pPr>
              <w:spacing w:line="312" w:lineRule="auto"/>
              <w:jc w:val="center"/>
              <w:rPr>
                <w:rFonts w:ascii="宋体" w:hAnsi="宋体" w:eastAsia="宋体"/>
              </w:rPr>
            </w:pPr>
            <w:r>
              <w:rPr>
                <w:rFonts w:hint="eastAsia" w:ascii="宋体" w:hAnsi="宋体" w:eastAsia="宋体"/>
              </w:rPr>
              <w:t>0.2%</w:t>
            </w:r>
          </w:p>
        </w:tc>
      </w:tr>
      <w:tr w14:paraId="1E7503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02CC949A">
            <w:pPr>
              <w:spacing w:line="312" w:lineRule="auto"/>
              <w:rPr>
                <w:rFonts w:ascii="宋体" w:hAnsi="宋体" w:eastAsia="宋体"/>
              </w:rPr>
            </w:pPr>
            <w:r>
              <w:rPr>
                <w:rFonts w:hint="eastAsia" w:ascii="宋体" w:hAnsi="宋体" w:eastAsia="宋体"/>
              </w:rPr>
              <w:t>1-5亿元</w:t>
            </w:r>
          </w:p>
        </w:tc>
        <w:tc>
          <w:tcPr>
            <w:tcW w:w="2158" w:type="dxa"/>
            <w:vAlign w:val="center"/>
          </w:tcPr>
          <w:p w14:paraId="36F845BE">
            <w:pPr>
              <w:spacing w:line="312" w:lineRule="auto"/>
              <w:jc w:val="center"/>
              <w:rPr>
                <w:rFonts w:ascii="宋体" w:hAnsi="宋体" w:eastAsia="宋体"/>
              </w:rPr>
            </w:pPr>
            <w:r>
              <w:rPr>
                <w:rFonts w:hint="eastAsia" w:ascii="宋体" w:hAnsi="宋体" w:eastAsia="宋体"/>
              </w:rPr>
              <w:t>0.05%</w:t>
            </w:r>
          </w:p>
        </w:tc>
        <w:tc>
          <w:tcPr>
            <w:tcW w:w="2159" w:type="dxa"/>
            <w:tcBorders>
              <w:right w:val="single" w:color="auto" w:sz="4" w:space="0"/>
            </w:tcBorders>
            <w:vAlign w:val="center"/>
          </w:tcPr>
          <w:p w14:paraId="23F8FFA6">
            <w:pPr>
              <w:spacing w:line="312" w:lineRule="auto"/>
              <w:jc w:val="center"/>
              <w:rPr>
                <w:rFonts w:ascii="宋体" w:hAnsi="宋体" w:eastAsia="宋体"/>
              </w:rPr>
            </w:pPr>
            <w:r>
              <w:rPr>
                <w:rFonts w:hint="eastAsia" w:ascii="宋体" w:hAnsi="宋体" w:eastAsia="宋体"/>
              </w:rPr>
              <w:t>0.05%</w:t>
            </w:r>
          </w:p>
        </w:tc>
        <w:tc>
          <w:tcPr>
            <w:tcW w:w="2159" w:type="dxa"/>
            <w:tcBorders>
              <w:left w:val="single" w:color="auto" w:sz="4" w:space="0"/>
            </w:tcBorders>
            <w:vAlign w:val="center"/>
          </w:tcPr>
          <w:p w14:paraId="095C32E3">
            <w:pPr>
              <w:spacing w:line="312" w:lineRule="auto"/>
              <w:jc w:val="center"/>
              <w:rPr>
                <w:rFonts w:ascii="宋体" w:hAnsi="宋体" w:eastAsia="宋体"/>
              </w:rPr>
            </w:pPr>
            <w:r>
              <w:rPr>
                <w:rFonts w:hint="eastAsia" w:ascii="宋体" w:hAnsi="宋体" w:eastAsia="宋体"/>
              </w:rPr>
              <w:t>0.05%</w:t>
            </w:r>
          </w:p>
        </w:tc>
      </w:tr>
      <w:tr w14:paraId="7A8903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54661B29">
            <w:pPr>
              <w:spacing w:line="312" w:lineRule="auto"/>
              <w:rPr>
                <w:rFonts w:ascii="宋体" w:hAnsi="宋体" w:eastAsia="宋体"/>
              </w:rPr>
            </w:pPr>
            <w:r>
              <w:rPr>
                <w:rFonts w:hint="eastAsia" w:ascii="宋体" w:hAnsi="宋体" w:eastAsia="宋体"/>
              </w:rPr>
              <w:t>5-10亿元</w:t>
            </w:r>
          </w:p>
        </w:tc>
        <w:tc>
          <w:tcPr>
            <w:tcW w:w="2158" w:type="dxa"/>
            <w:vAlign w:val="center"/>
          </w:tcPr>
          <w:p w14:paraId="3BF426C5">
            <w:pPr>
              <w:spacing w:line="312" w:lineRule="auto"/>
              <w:jc w:val="center"/>
              <w:rPr>
                <w:rFonts w:ascii="宋体" w:hAnsi="宋体" w:eastAsia="宋体"/>
              </w:rPr>
            </w:pPr>
            <w:r>
              <w:rPr>
                <w:rFonts w:hint="eastAsia" w:ascii="宋体" w:hAnsi="宋体" w:eastAsia="宋体"/>
              </w:rPr>
              <w:t>0.035%</w:t>
            </w:r>
          </w:p>
        </w:tc>
        <w:tc>
          <w:tcPr>
            <w:tcW w:w="2159" w:type="dxa"/>
            <w:tcBorders>
              <w:right w:val="single" w:color="auto" w:sz="4" w:space="0"/>
            </w:tcBorders>
            <w:vAlign w:val="center"/>
          </w:tcPr>
          <w:p w14:paraId="60D75868">
            <w:pPr>
              <w:spacing w:line="312" w:lineRule="auto"/>
              <w:jc w:val="center"/>
              <w:rPr>
                <w:rFonts w:ascii="宋体" w:hAnsi="宋体" w:eastAsia="宋体"/>
              </w:rPr>
            </w:pPr>
            <w:r>
              <w:rPr>
                <w:rFonts w:hint="eastAsia" w:ascii="宋体" w:hAnsi="宋体" w:eastAsia="宋体"/>
              </w:rPr>
              <w:t>0.035%</w:t>
            </w:r>
          </w:p>
        </w:tc>
        <w:tc>
          <w:tcPr>
            <w:tcW w:w="2159" w:type="dxa"/>
            <w:tcBorders>
              <w:left w:val="single" w:color="auto" w:sz="4" w:space="0"/>
            </w:tcBorders>
            <w:vAlign w:val="center"/>
          </w:tcPr>
          <w:p w14:paraId="62581D49">
            <w:pPr>
              <w:spacing w:line="312" w:lineRule="auto"/>
              <w:jc w:val="center"/>
              <w:rPr>
                <w:rFonts w:ascii="宋体" w:hAnsi="宋体" w:eastAsia="宋体"/>
              </w:rPr>
            </w:pPr>
            <w:r>
              <w:rPr>
                <w:rFonts w:hint="eastAsia" w:ascii="宋体" w:hAnsi="宋体" w:eastAsia="宋体"/>
              </w:rPr>
              <w:t>0.035%</w:t>
            </w:r>
          </w:p>
        </w:tc>
      </w:tr>
      <w:tr w14:paraId="667439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5364FC42">
            <w:pPr>
              <w:spacing w:line="312" w:lineRule="auto"/>
              <w:rPr>
                <w:rFonts w:ascii="宋体" w:hAnsi="宋体" w:eastAsia="宋体"/>
              </w:rPr>
            </w:pPr>
            <w:r>
              <w:rPr>
                <w:rFonts w:hint="eastAsia" w:ascii="宋体" w:hAnsi="宋体" w:eastAsia="宋体"/>
              </w:rPr>
              <w:t>10-50亿元</w:t>
            </w:r>
          </w:p>
        </w:tc>
        <w:tc>
          <w:tcPr>
            <w:tcW w:w="2158" w:type="dxa"/>
            <w:vAlign w:val="center"/>
          </w:tcPr>
          <w:p w14:paraId="20A1E383">
            <w:pPr>
              <w:spacing w:line="312" w:lineRule="auto"/>
              <w:jc w:val="center"/>
              <w:rPr>
                <w:rFonts w:ascii="宋体" w:hAnsi="宋体" w:eastAsia="宋体"/>
              </w:rPr>
            </w:pPr>
            <w:r>
              <w:rPr>
                <w:rFonts w:hint="eastAsia" w:ascii="宋体" w:hAnsi="宋体" w:eastAsia="宋体"/>
              </w:rPr>
              <w:t>0.008%</w:t>
            </w:r>
          </w:p>
        </w:tc>
        <w:tc>
          <w:tcPr>
            <w:tcW w:w="2159" w:type="dxa"/>
            <w:tcBorders>
              <w:right w:val="single" w:color="auto" w:sz="4" w:space="0"/>
            </w:tcBorders>
            <w:vAlign w:val="center"/>
          </w:tcPr>
          <w:p w14:paraId="3BF0E325">
            <w:pPr>
              <w:spacing w:line="312" w:lineRule="auto"/>
              <w:jc w:val="center"/>
              <w:rPr>
                <w:rFonts w:ascii="宋体" w:hAnsi="宋体" w:eastAsia="宋体"/>
              </w:rPr>
            </w:pPr>
            <w:r>
              <w:rPr>
                <w:rFonts w:hint="eastAsia" w:ascii="宋体" w:hAnsi="宋体" w:eastAsia="宋体"/>
              </w:rPr>
              <w:t>0.008%</w:t>
            </w:r>
          </w:p>
        </w:tc>
        <w:tc>
          <w:tcPr>
            <w:tcW w:w="2159" w:type="dxa"/>
            <w:tcBorders>
              <w:left w:val="single" w:color="auto" w:sz="4" w:space="0"/>
            </w:tcBorders>
            <w:vAlign w:val="center"/>
          </w:tcPr>
          <w:p w14:paraId="1516D125">
            <w:pPr>
              <w:spacing w:line="312" w:lineRule="auto"/>
              <w:jc w:val="center"/>
              <w:rPr>
                <w:rFonts w:ascii="宋体" w:hAnsi="宋体" w:eastAsia="宋体"/>
              </w:rPr>
            </w:pPr>
            <w:r>
              <w:rPr>
                <w:rFonts w:hint="eastAsia" w:ascii="宋体" w:hAnsi="宋体" w:eastAsia="宋体"/>
              </w:rPr>
              <w:t>0.008%</w:t>
            </w:r>
          </w:p>
        </w:tc>
      </w:tr>
      <w:tr w14:paraId="6666F0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1F1393E5">
            <w:pPr>
              <w:spacing w:line="312" w:lineRule="auto"/>
              <w:rPr>
                <w:rFonts w:ascii="宋体" w:hAnsi="宋体" w:eastAsia="宋体"/>
              </w:rPr>
            </w:pPr>
            <w:r>
              <w:rPr>
                <w:rFonts w:hint="eastAsia" w:ascii="宋体" w:hAnsi="宋体" w:eastAsia="宋体"/>
              </w:rPr>
              <w:t>50-100亿元</w:t>
            </w:r>
          </w:p>
        </w:tc>
        <w:tc>
          <w:tcPr>
            <w:tcW w:w="2158" w:type="dxa"/>
            <w:vAlign w:val="center"/>
          </w:tcPr>
          <w:p w14:paraId="710E6145">
            <w:pPr>
              <w:spacing w:line="312" w:lineRule="auto"/>
              <w:jc w:val="center"/>
              <w:rPr>
                <w:rFonts w:ascii="宋体" w:hAnsi="宋体" w:eastAsia="宋体"/>
              </w:rPr>
            </w:pPr>
            <w:r>
              <w:rPr>
                <w:rFonts w:hint="eastAsia" w:ascii="宋体" w:hAnsi="宋体" w:eastAsia="宋体"/>
              </w:rPr>
              <w:t>0.006%</w:t>
            </w:r>
          </w:p>
        </w:tc>
        <w:tc>
          <w:tcPr>
            <w:tcW w:w="2159" w:type="dxa"/>
            <w:tcBorders>
              <w:right w:val="single" w:color="auto" w:sz="4" w:space="0"/>
            </w:tcBorders>
            <w:vAlign w:val="center"/>
          </w:tcPr>
          <w:p w14:paraId="7DA3719B">
            <w:pPr>
              <w:spacing w:line="312" w:lineRule="auto"/>
              <w:jc w:val="center"/>
              <w:rPr>
                <w:rFonts w:ascii="宋体" w:hAnsi="宋体" w:eastAsia="宋体"/>
              </w:rPr>
            </w:pPr>
            <w:r>
              <w:rPr>
                <w:rFonts w:hint="eastAsia" w:ascii="宋体" w:hAnsi="宋体" w:eastAsia="宋体"/>
              </w:rPr>
              <w:t>0.006%</w:t>
            </w:r>
          </w:p>
        </w:tc>
        <w:tc>
          <w:tcPr>
            <w:tcW w:w="2159" w:type="dxa"/>
            <w:tcBorders>
              <w:left w:val="single" w:color="auto" w:sz="4" w:space="0"/>
            </w:tcBorders>
            <w:vAlign w:val="center"/>
          </w:tcPr>
          <w:p w14:paraId="26839BA5">
            <w:pPr>
              <w:spacing w:line="312" w:lineRule="auto"/>
              <w:jc w:val="center"/>
              <w:rPr>
                <w:rFonts w:ascii="宋体" w:hAnsi="宋体" w:eastAsia="宋体"/>
              </w:rPr>
            </w:pPr>
            <w:r>
              <w:rPr>
                <w:rFonts w:hint="eastAsia" w:ascii="宋体" w:hAnsi="宋体" w:eastAsia="宋体"/>
              </w:rPr>
              <w:t>0.006%</w:t>
            </w:r>
          </w:p>
        </w:tc>
      </w:tr>
      <w:tr w14:paraId="7BF9E4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3237" w:type="dxa"/>
          </w:tcPr>
          <w:p w14:paraId="324FD078">
            <w:pPr>
              <w:spacing w:line="312" w:lineRule="auto"/>
              <w:rPr>
                <w:rFonts w:ascii="宋体" w:hAnsi="宋体" w:eastAsia="宋体"/>
              </w:rPr>
            </w:pPr>
            <w:r>
              <w:rPr>
                <w:rFonts w:hint="eastAsia" w:ascii="宋体" w:hAnsi="宋体" w:eastAsia="宋体"/>
              </w:rPr>
              <w:t>100亿元以上</w:t>
            </w:r>
          </w:p>
        </w:tc>
        <w:tc>
          <w:tcPr>
            <w:tcW w:w="2158" w:type="dxa"/>
            <w:vAlign w:val="center"/>
          </w:tcPr>
          <w:p w14:paraId="4850F0FA">
            <w:pPr>
              <w:spacing w:line="312" w:lineRule="auto"/>
              <w:jc w:val="center"/>
              <w:rPr>
                <w:rFonts w:ascii="宋体" w:hAnsi="宋体" w:eastAsia="宋体"/>
              </w:rPr>
            </w:pPr>
            <w:r>
              <w:rPr>
                <w:rFonts w:hint="eastAsia" w:ascii="宋体" w:hAnsi="宋体" w:eastAsia="宋体"/>
              </w:rPr>
              <w:t>0.004%</w:t>
            </w:r>
          </w:p>
        </w:tc>
        <w:tc>
          <w:tcPr>
            <w:tcW w:w="2159" w:type="dxa"/>
            <w:tcBorders>
              <w:right w:val="single" w:color="auto" w:sz="4" w:space="0"/>
            </w:tcBorders>
            <w:vAlign w:val="center"/>
          </w:tcPr>
          <w:p w14:paraId="737E3D8D">
            <w:pPr>
              <w:spacing w:line="312" w:lineRule="auto"/>
              <w:jc w:val="center"/>
              <w:rPr>
                <w:rFonts w:ascii="宋体" w:hAnsi="宋体" w:eastAsia="宋体"/>
              </w:rPr>
            </w:pPr>
            <w:r>
              <w:rPr>
                <w:rFonts w:hint="eastAsia" w:ascii="宋体" w:hAnsi="宋体" w:eastAsia="宋体"/>
              </w:rPr>
              <w:t>0.004%</w:t>
            </w:r>
          </w:p>
        </w:tc>
        <w:tc>
          <w:tcPr>
            <w:tcW w:w="2159" w:type="dxa"/>
            <w:tcBorders>
              <w:left w:val="single" w:color="auto" w:sz="4" w:space="0"/>
            </w:tcBorders>
            <w:vAlign w:val="center"/>
          </w:tcPr>
          <w:p w14:paraId="28B47616">
            <w:pPr>
              <w:spacing w:line="312" w:lineRule="auto"/>
              <w:jc w:val="center"/>
              <w:rPr>
                <w:rFonts w:ascii="宋体" w:hAnsi="宋体" w:eastAsia="宋体"/>
              </w:rPr>
            </w:pPr>
            <w:r>
              <w:rPr>
                <w:rFonts w:hint="eastAsia" w:ascii="宋体" w:hAnsi="宋体" w:eastAsia="宋体"/>
              </w:rPr>
              <w:t>0.004%</w:t>
            </w:r>
          </w:p>
        </w:tc>
      </w:tr>
    </w:tbl>
    <w:p w14:paraId="47F53228">
      <w:pPr>
        <w:spacing w:line="288" w:lineRule="auto"/>
        <w:rPr>
          <w:rFonts w:ascii="宋体" w:hAnsi="宋体" w:eastAsia="宋体"/>
        </w:rPr>
      </w:pPr>
      <w:r>
        <w:rPr>
          <w:rFonts w:hint="eastAsia" w:ascii="宋体" w:hAnsi="宋体" w:eastAsia="宋体"/>
        </w:rPr>
        <w:t>例如：某工程招标代理业务中标金额为850万元，计算招标代理服务收费额如下：</w:t>
      </w:r>
    </w:p>
    <w:p w14:paraId="61903713">
      <w:pPr>
        <w:spacing w:line="288" w:lineRule="auto"/>
        <w:ind w:firstLine="105" w:firstLineChars="50"/>
        <w:rPr>
          <w:rFonts w:ascii="宋体" w:hAnsi="宋体" w:eastAsia="宋体"/>
        </w:rPr>
      </w:pPr>
      <w:r>
        <w:rPr>
          <w:rFonts w:hint="eastAsia" w:ascii="宋体" w:hAnsi="宋体" w:eastAsia="宋体"/>
        </w:rPr>
        <w:t>100 万元×1.00%= 10000元</w:t>
      </w:r>
    </w:p>
    <w:p w14:paraId="6E0BA881">
      <w:pPr>
        <w:spacing w:line="288" w:lineRule="auto"/>
        <w:rPr>
          <w:rFonts w:ascii="宋体" w:hAnsi="宋体" w:eastAsia="宋体"/>
        </w:rPr>
      </w:pPr>
      <w:r>
        <w:rPr>
          <w:rFonts w:hint="eastAsia" w:ascii="宋体" w:hAnsi="宋体" w:eastAsia="宋体"/>
        </w:rPr>
        <w:t>（500- 100）万元×0.70%= 28000元</w:t>
      </w:r>
    </w:p>
    <w:p w14:paraId="3EBC1A47">
      <w:pPr>
        <w:spacing w:line="288" w:lineRule="auto"/>
        <w:rPr>
          <w:rFonts w:ascii="宋体" w:hAnsi="宋体" w:eastAsia="宋体"/>
        </w:rPr>
      </w:pPr>
      <w:r>
        <w:rPr>
          <w:rFonts w:hint="eastAsia" w:ascii="宋体" w:hAnsi="宋体" w:eastAsia="宋体"/>
        </w:rPr>
        <w:t>（850- 500）万元×0.55%= 19250元</w:t>
      </w:r>
    </w:p>
    <w:p w14:paraId="30D07700">
      <w:pPr>
        <w:spacing w:line="288" w:lineRule="auto"/>
        <w:rPr>
          <w:rFonts w:ascii="宋体" w:hAnsi="宋体" w:eastAsia="宋体"/>
        </w:rPr>
      </w:pPr>
      <w:r>
        <w:rPr>
          <w:rFonts w:hint="eastAsia" w:ascii="宋体" w:hAnsi="宋体" w:eastAsia="宋体"/>
        </w:rPr>
        <w:t>合计收费=10000+28000+19250元=57250元</w:t>
      </w:r>
    </w:p>
    <w:p w14:paraId="29FC4FF7">
      <w:pPr>
        <w:spacing w:line="288" w:lineRule="auto"/>
        <w:rPr>
          <w:rFonts w:ascii="宋体" w:hAnsi="宋体" w:eastAsia="宋体"/>
        </w:rPr>
      </w:pPr>
      <w:r>
        <w:rPr>
          <w:rFonts w:hint="eastAsia" w:ascii="宋体" w:hAnsi="宋体" w:eastAsia="宋体"/>
        </w:rPr>
        <w:t>例如：某货物招标成交金额为850万元，计算招标代理服务收费额如下：</w:t>
      </w:r>
    </w:p>
    <w:p w14:paraId="79EC4800">
      <w:pPr>
        <w:spacing w:line="288" w:lineRule="auto"/>
        <w:rPr>
          <w:rFonts w:ascii="宋体" w:hAnsi="宋体" w:eastAsia="宋体"/>
        </w:rPr>
      </w:pPr>
      <w:r>
        <w:rPr>
          <w:rFonts w:hint="eastAsia" w:ascii="宋体" w:hAnsi="宋体" w:eastAsia="宋体"/>
        </w:rPr>
        <w:t>100万元×1.5%=1.5万元</w:t>
      </w:r>
    </w:p>
    <w:p w14:paraId="4D40E690">
      <w:pPr>
        <w:spacing w:line="288" w:lineRule="auto"/>
        <w:rPr>
          <w:rFonts w:ascii="宋体" w:hAnsi="宋体" w:eastAsia="宋体"/>
        </w:rPr>
      </w:pPr>
      <w:r>
        <w:rPr>
          <w:rFonts w:hint="eastAsia" w:ascii="宋体" w:hAnsi="宋体" w:eastAsia="宋体"/>
        </w:rPr>
        <w:t>（500-100）万元×1.1%=4.4万元</w:t>
      </w:r>
    </w:p>
    <w:p w14:paraId="6F80D695">
      <w:pPr>
        <w:spacing w:line="288" w:lineRule="auto"/>
        <w:rPr>
          <w:rFonts w:ascii="宋体" w:hAnsi="宋体" w:eastAsia="宋体"/>
        </w:rPr>
      </w:pPr>
      <w:r>
        <w:rPr>
          <w:rFonts w:hint="eastAsia" w:ascii="宋体" w:hAnsi="宋体" w:eastAsia="宋体"/>
        </w:rPr>
        <w:t>（850-500）万元×0.8%=2.8万元</w:t>
      </w:r>
    </w:p>
    <w:p w14:paraId="3554B0CB">
      <w:pPr>
        <w:spacing w:line="288" w:lineRule="auto"/>
        <w:rPr>
          <w:rFonts w:ascii="宋体" w:hAnsi="宋体" w:eastAsia="宋体"/>
        </w:rPr>
      </w:pPr>
      <w:r>
        <w:rPr>
          <w:rFonts w:hint="eastAsia" w:ascii="宋体" w:hAnsi="宋体" w:eastAsia="宋体"/>
        </w:rPr>
        <w:t>合计收费=1.5+4.4+2.8=8.7（万元）</w:t>
      </w:r>
    </w:p>
    <w:p w14:paraId="5ABB1A42">
      <w:pPr>
        <w:spacing w:line="288" w:lineRule="auto"/>
        <w:rPr>
          <w:rFonts w:ascii="宋体" w:hAnsi="宋体" w:eastAsia="宋体"/>
        </w:rPr>
      </w:pPr>
      <w:r>
        <w:rPr>
          <w:rFonts w:hint="eastAsia" w:ascii="宋体" w:hAnsi="宋体" w:eastAsia="宋体"/>
        </w:rPr>
        <w:t>例如：某服务招标成交金额为 850万元，计算招标代理服务收费额如下：</w:t>
      </w:r>
    </w:p>
    <w:p w14:paraId="33C06A11">
      <w:pPr>
        <w:spacing w:line="288" w:lineRule="auto"/>
        <w:rPr>
          <w:rFonts w:ascii="宋体" w:hAnsi="宋体" w:eastAsia="宋体"/>
        </w:rPr>
      </w:pPr>
      <w:r>
        <w:rPr>
          <w:rFonts w:hint="eastAsia" w:ascii="宋体" w:hAnsi="宋体" w:eastAsia="宋体"/>
        </w:rPr>
        <w:t>100万元×1.5%=1.5万元</w:t>
      </w:r>
    </w:p>
    <w:p w14:paraId="6FAA612E">
      <w:pPr>
        <w:spacing w:line="288" w:lineRule="auto"/>
        <w:rPr>
          <w:rFonts w:ascii="宋体" w:hAnsi="宋体" w:eastAsia="宋体"/>
        </w:rPr>
      </w:pPr>
      <w:r>
        <w:rPr>
          <w:rFonts w:hint="eastAsia" w:ascii="宋体" w:hAnsi="宋体" w:eastAsia="宋体"/>
        </w:rPr>
        <w:t>（500-100）万元×0.8%=3.2万元</w:t>
      </w:r>
    </w:p>
    <w:p w14:paraId="09107777">
      <w:pPr>
        <w:spacing w:line="288" w:lineRule="auto"/>
        <w:rPr>
          <w:rFonts w:ascii="宋体" w:hAnsi="宋体" w:eastAsia="宋体"/>
        </w:rPr>
      </w:pPr>
      <w:r>
        <w:rPr>
          <w:rFonts w:hint="eastAsia" w:ascii="宋体" w:hAnsi="宋体" w:eastAsia="宋体"/>
        </w:rPr>
        <w:t>（850-500）万元×0.45%=1.575万元</w:t>
      </w:r>
    </w:p>
    <w:p w14:paraId="25AB9EE6">
      <w:pPr>
        <w:spacing w:line="288" w:lineRule="auto"/>
        <w:rPr>
          <w:rFonts w:ascii="宋体" w:hAnsi="宋体" w:eastAsia="宋体"/>
        </w:rPr>
      </w:pPr>
      <w:r>
        <w:rPr>
          <w:rFonts w:hint="eastAsia" w:ascii="宋体" w:hAnsi="宋体" w:eastAsia="宋体"/>
        </w:rPr>
        <w:t>合计收费=1.5+3.2+1.575=6.275（万元）</w:t>
      </w:r>
    </w:p>
    <w:p w14:paraId="42B3FF85">
      <w:pPr>
        <w:spacing w:line="288" w:lineRule="auto"/>
        <w:ind w:firstLine="420" w:firstLineChars="200"/>
        <w:rPr>
          <w:rFonts w:ascii="宋体" w:hAnsi="宋体" w:eastAsia="宋体"/>
        </w:rPr>
      </w:pPr>
      <w:r>
        <w:rPr>
          <w:rFonts w:hint="eastAsia" w:ascii="宋体" w:hAnsi="宋体" w:eastAsia="宋体"/>
        </w:rPr>
        <w:t>34.3 经依法取消成交资格的，招标代理服务费不予退还。</w:t>
      </w:r>
    </w:p>
    <w:p w14:paraId="04A0188A">
      <w:pPr>
        <w:spacing w:line="312" w:lineRule="auto"/>
        <w:rPr>
          <w:rFonts w:ascii="宋体" w:hAnsi="宋体" w:eastAsia="宋体"/>
          <w:b/>
        </w:rPr>
      </w:pPr>
    </w:p>
    <w:p w14:paraId="412F14B8">
      <w:pPr>
        <w:spacing w:line="312" w:lineRule="auto"/>
        <w:rPr>
          <w:rFonts w:ascii="宋体" w:hAnsi="宋体" w:eastAsia="宋体"/>
          <w:b/>
        </w:rPr>
      </w:pPr>
    </w:p>
    <w:p w14:paraId="6F3C26B8">
      <w:pPr>
        <w:spacing w:line="312" w:lineRule="auto"/>
        <w:rPr>
          <w:rFonts w:ascii="宋体" w:hAnsi="宋体" w:eastAsia="宋体"/>
          <w:b/>
        </w:rPr>
      </w:pPr>
    </w:p>
    <w:p w14:paraId="58C26048">
      <w:pPr>
        <w:spacing w:line="312" w:lineRule="auto"/>
        <w:rPr>
          <w:rFonts w:ascii="宋体" w:hAnsi="宋体" w:eastAsia="宋体"/>
          <w:b/>
        </w:rPr>
      </w:pPr>
      <w:r>
        <w:rPr>
          <w:rFonts w:hint="eastAsia" w:ascii="宋体" w:hAnsi="宋体" w:eastAsia="宋体"/>
          <w:b/>
        </w:rPr>
        <w:t>1：询问函格式</w:t>
      </w:r>
    </w:p>
    <w:p w14:paraId="3ACC3D14">
      <w:pPr>
        <w:spacing w:line="312" w:lineRule="auto"/>
        <w:jc w:val="center"/>
        <w:rPr>
          <w:rFonts w:ascii="宋体" w:hAnsi="宋体" w:eastAsia="宋体"/>
          <w:b/>
        </w:rPr>
      </w:pPr>
      <w:r>
        <w:rPr>
          <w:rFonts w:hint="eastAsia" w:ascii="宋体" w:hAnsi="宋体" w:eastAsia="宋体"/>
          <w:b/>
          <w:sz w:val="28"/>
        </w:rPr>
        <w:t>询问函</w:t>
      </w:r>
    </w:p>
    <w:p w14:paraId="3784B149">
      <w:pPr>
        <w:spacing w:line="312" w:lineRule="auto"/>
        <w:rPr>
          <w:rFonts w:ascii="宋体" w:hAnsi="宋体" w:eastAsia="宋体"/>
        </w:rPr>
      </w:pPr>
    </w:p>
    <w:p w14:paraId="43C67D91">
      <w:pPr>
        <w:spacing w:line="312" w:lineRule="auto"/>
        <w:rPr>
          <w:rFonts w:ascii="宋体" w:hAnsi="宋体" w:eastAsia="宋体"/>
        </w:rPr>
      </w:pPr>
      <w:r>
        <w:rPr>
          <w:rFonts w:hint="eastAsia" w:ascii="宋体" w:hAnsi="宋体" w:eastAsia="宋体"/>
        </w:rPr>
        <w:t>广东创富工程管理有限公司/（采购人单位名称）：</w:t>
      </w:r>
    </w:p>
    <w:p w14:paraId="1D383DFE">
      <w:pPr>
        <w:spacing w:line="312" w:lineRule="auto"/>
        <w:ind w:firstLine="420" w:firstLineChars="200"/>
        <w:rPr>
          <w:rFonts w:ascii="宋体" w:hAnsi="宋体" w:eastAsia="宋体"/>
        </w:rPr>
      </w:pPr>
      <w:r>
        <w:rPr>
          <w:rFonts w:hint="eastAsia" w:ascii="宋体" w:hAnsi="宋体" w:eastAsia="宋体"/>
        </w:rPr>
        <w:t>我单位已报名并准备参与</w:t>
      </w:r>
      <w:r>
        <w:rPr>
          <w:rFonts w:hint="eastAsia" w:ascii="宋体" w:hAnsi="宋体" w:eastAsia="宋体"/>
          <w:u w:val="single"/>
        </w:rPr>
        <w:t xml:space="preserve">   （项目名称）  </w:t>
      </w:r>
      <w:r>
        <w:rPr>
          <w:rFonts w:hint="eastAsia" w:ascii="宋体" w:hAnsi="宋体" w:eastAsia="宋体"/>
        </w:rPr>
        <w:t>项目（项目编号：</w:t>
      </w:r>
      <w:r>
        <w:rPr>
          <w:rFonts w:hint="eastAsia" w:ascii="宋体" w:hAnsi="宋体" w:eastAsia="宋体"/>
          <w:u w:val="single"/>
        </w:rPr>
        <w:t xml:space="preserve">     </w:t>
      </w:r>
      <w:r>
        <w:rPr>
          <w:rFonts w:hint="eastAsia" w:ascii="宋体" w:hAnsi="宋体" w:eastAsia="宋体"/>
        </w:rPr>
        <w:t>）的投标（或报价）活动，现有以下几个内容（或条款）存在疑问（或无法理解），特提出询问。</w:t>
      </w:r>
    </w:p>
    <w:p w14:paraId="5C98FE32">
      <w:pPr>
        <w:spacing w:line="312" w:lineRule="auto"/>
        <w:ind w:firstLine="420" w:firstLineChars="200"/>
        <w:rPr>
          <w:rFonts w:ascii="宋体" w:hAnsi="宋体" w:eastAsia="宋体"/>
        </w:rPr>
      </w:pPr>
      <w:r>
        <w:rPr>
          <w:rFonts w:hint="eastAsia" w:ascii="宋体" w:hAnsi="宋体" w:eastAsia="宋体"/>
        </w:rPr>
        <w:t>一、</w:t>
      </w:r>
      <w:r>
        <w:rPr>
          <w:rFonts w:hint="eastAsia" w:ascii="宋体" w:hAnsi="宋体" w:eastAsia="宋体"/>
          <w:u w:val="single"/>
        </w:rPr>
        <w:t xml:space="preserve">                     </w:t>
      </w:r>
      <w:r>
        <w:rPr>
          <w:rFonts w:hint="eastAsia" w:ascii="宋体" w:hAnsi="宋体" w:eastAsia="宋体"/>
        </w:rPr>
        <w:t>（事项一）</w:t>
      </w:r>
    </w:p>
    <w:p w14:paraId="2ACA29B9">
      <w:pPr>
        <w:spacing w:line="312" w:lineRule="auto"/>
        <w:ind w:firstLine="420" w:firstLineChars="200"/>
        <w:rPr>
          <w:rFonts w:ascii="宋体" w:hAnsi="宋体" w:eastAsia="宋体"/>
        </w:rPr>
      </w:pPr>
      <w:r>
        <w:rPr>
          <w:rFonts w:hint="eastAsia" w:ascii="宋体" w:hAnsi="宋体" w:eastAsia="宋体"/>
        </w:rPr>
        <w:t>（1）</w:t>
      </w:r>
      <w:r>
        <w:rPr>
          <w:rFonts w:hint="eastAsia" w:ascii="宋体" w:hAnsi="宋体" w:eastAsia="宋体"/>
          <w:u w:val="single"/>
        </w:rPr>
        <w:t xml:space="preserve">                    </w:t>
      </w:r>
      <w:r>
        <w:rPr>
          <w:rFonts w:hint="eastAsia" w:ascii="宋体" w:hAnsi="宋体" w:eastAsia="宋体"/>
        </w:rPr>
        <w:t>（问题或条款内容）</w:t>
      </w:r>
    </w:p>
    <w:p w14:paraId="1E6ABE96">
      <w:pPr>
        <w:spacing w:line="312" w:lineRule="auto"/>
        <w:ind w:firstLine="420" w:firstLineChars="200"/>
        <w:rPr>
          <w:rFonts w:ascii="宋体" w:hAnsi="宋体" w:eastAsia="宋体"/>
        </w:rPr>
      </w:pPr>
      <w:r>
        <w:rPr>
          <w:rFonts w:hint="eastAsia" w:ascii="宋体" w:hAnsi="宋体" w:eastAsia="宋体"/>
        </w:rPr>
        <w:t>（2）</w:t>
      </w:r>
      <w:r>
        <w:rPr>
          <w:rFonts w:hint="eastAsia" w:ascii="宋体" w:hAnsi="宋体" w:eastAsia="宋体"/>
          <w:u w:val="single"/>
        </w:rPr>
        <w:t xml:space="preserve">                    </w:t>
      </w:r>
      <w:r>
        <w:rPr>
          <w:rFonts w:hint="eastAsia" w:ascii="宋体" w:hAnsi="宋体" w:eastAsia="宋体"/>
        </w:rPr>
        <w:t>（说明疑问或无法理解原因）</w:t>
      </w:r>
    </w:p>
    <w:p w14:paraId="090545A9">
      <w:pPr>
        <w:spacing w:line="312" w:lineRule="auto"/>
        <w:ind w:firstLine="420" w:firstLineChars="200"/>
        <w:rPr>
          <w:rFonts w:ascii="宋体" w:hAnsi="宋体" w:eastAsia="宋体"/>
        </w:rPr>
      </w:pPr>
      <w:r>
        <w:rPr>
          <w:rFonts w:hint="eastAsia" w:ascii="宋体" w:hAnsi="宋体" w:eastAsia="宋体"/>
        </w:rPr>
        <w:t>（3）</w:t>
      </w:r>
      <w:r>
        <w:rPr>
          <w:rFonts w:hint="eastAsia" w:ascii="宋体" w:hAnsi="宋体" w:eastAsia="宋体"/>
          <w:u w:val="single"/>
        </w:rPr>
        <w:t xml:space="preserve">                    </w:t>
      </w:r>
      <w:r>
        <w:rPr>
          <w:rFonts w:hint="eastAsia" w:ascii="宋体" w:hAnsi="宋体" w:eastAsia="宋体"/>
        </w:rPr>
        <w:t>（建议）</w:t>
      </w:r>
    </w:p>
    <w:p w14:paraId="2DD3C3D5">
      <w:pPr>
        <w:spacing w:line="312" w:lineRule="auto"/>
        <w:ind w:firstLine="420" w:firstLineChars="200"/>
        <w:rPr>
          <w:rFonts w:ascii="宋体" w:hAnsi="宋体" w:eastAsia="宋体"/>
        </w:rPr>
      </w:pPr>
      <w:r>
        <w:rPr>
          <w:rFonts w:hint="eastAsia" w:ascii="宋体" w:hAnsi="宋体" w:eastAsia="宋体"/>
        </w:rPr>
        <w:t>二、</w:t>
      </w:r>
      <w:r>
        <w:rPr>
          <w:rFonts w:hint="eastAsia" w:ascii="宋体" w:hAnsi="宋体" w:eastAsia="宋体"/>
          <w:u w:val="single"/>
        </w:rPr>
        <w:t xml:space="preserve">                     </w:t>
      </w:r>
      <w:r>
        <w:rPr>
          <w:rFonts w:hint="eastAsia" w:ascii="宋体" w:hAnsi="宋体" w:eastAsia="宋体"/>
        </w:rPr>
        <w:t>（事项二）</w:t>
      </w:r>
    </w:p>
    <w:p w14:paraId="2313FF51">
      <w:pPr>
        <w:spacing w:line="312" w:lineRule="auto"/>
        <w:ind w:firstLine="420" w:firstLineChars="200"/>
        <w:rPr>
          <w:rFonts w:ascii="宋体" w:hAnsi="宋体" w:eastAsia="宋体"/>
        </w:rPr>
      </w:pPr>
      <w:r>
        <w:rPr>
          <w:rFonts w:hint="eastAsia" w:ascii="宋体" w:hAnsi="宋体" w:eastAsia="宋体"/>
        </w:rPr>
        <w:t>……</w:t>
      </w:r>
    </w:p>
    <w:p w14:paraId="7EB4DF7C">
      <w:pPr>
        <w:spacing w:line="312" w:lineRule="auto"/>
        <w:ind w:firstLine="420" w:firstLineChars="200"/>
        <w:rPr>
          <w:rFonts w:ascii="宋体" w:hAnsi="宋体" w:eastAsia="宋体"/>
        </w:rPr>
      </w:pPr>
      <w:r>
        <w:rPr>
          <w:rFonts w:hint="eastAsia" w:ascii="宋体" w:hAnsi="宋体" w:eastAsia="宋体"/>
        </w:rPr>
        <w:t>随附相关证明材料如下：（目录）。</w:t>
      </w:r>
    </w:p>
    <w:p w14:paraId="57501756">
      <w:pPr>
        <w:spacing w:line="312" w:lineRule="auto"/>
        <w:rPr>
          <w:rFonts w:ascii="宋体" w:hAnsi="宋体" w:eastAsia="宋体"/>
        </w:rPr>
      </w:pPr>
    </w:p>
    <w:p w14:paraId="46895B99">
      <w:pPr>
        <w:spacing w:line="312" w:lineRule="auto"/>
        <w:rPr>
          <w:rFonts w:ascii="宋体" w:hAnsi="宋体" w:eastAsia="宋体"/>
        </w:rPr>
      </w:pPr>
      <w:r>
        <w:rPr>
          <w:rFonts w:hint="eastAsia" w:ascii="宋体" w:hAnsi="宋体" w:eastAsia="宋体"/>
        </w:rPr>
        <w:t>询问人：（公章）</w:t>
      </w:r>
    </w:p>
    <w:p w14:paraId="2B434ADD">
      <w:pPr>
        <w:spacing w:line="312" w:lineRule="auto"/>
        <w:rPr>
          <w:rFonts w:ascii="宋体" w:hAnsi="宋体" w:eastAsia="宋体"/>
        </w:rPr>
      </w:pPr>
      <w:r>
        <w:rPr>
          <w:rFonts w:hint="eastAsia" w:ascii="宋体" w:hAnsi="宋体" w:eastAsia="宋体"/>
        </w:rPr>
        <w:t>法定代表人（授权代表）：</w:t>
      </w:r>
    </w:p>
    <w:p w14:paraId="2923B7DB">
      <w:pPr>
        <w:spacing w:line="312" w:lineRule="auto"/>
        <w:rPr>
          <w:rFonts w:ascii="宋体" w:hAnsi="宋体" w:eastAsia="宋体"/>
        </w:rPr>
      </w:pPr>
      <w:r>
        <w:rPr>
          <w:rFonts w:hint="eastAsia" w:ascii="宋体" w:hAnsi="宋体" w:eastAsia="宋体"/>
        </w:rPr>
        <w:t>地址/邮编：</w:t>
      </w:r>
    </w:p>
    <w:p w14:paraId="2C7579C1">
      <w:pPr>
        <w:spacing w:line="312" w:lineRule="auto"/>
        <w:rPr>
          <w:rFonts w:ascii="宋体" w:hAnsi="宋体" w:eastAsia="宋体"/>
        </w:rPr>
      </w:pPr>
      <w:r>
        <w:rPr>
          <w:rFonts w:hint="eastAsia" w:ascii="宋体" w:hAnsi="宋体" w:eastAsia="宋体"/>
        </w:rPr>
        <w:t>电话/传真：</w:t>
      </w:r>
    </w:p>
    <w:p w14:paraId="72A65E5A">
      <w:pPr>
        <w:spacing w:line="312" w:lineRule="auto"/>
        <w:rPr>
          <w:rFonts w:ascii="宋体" w:hAnsi="宋体" w:eastAsia="宋体"/>
        </w:rPr>
      </w:pPr>
      <w:r>
        <w:rPr>
          <w:rFonts w:hint="eastAsia" w:ascii="宋体" w:hAnsi="宋体" w:eastAsia="宋体"/>
        </w:rPr>
        <w:t>日     期：</w:t>
      </w:r>
    </w:p>
    <w:p w14:paraId="09355036">
      <w:pPr>
        <w:spacing w:line="312" w:lineRule="auto"/>
        <w:rPr>
          <w:rFonts w:ascii="宋体" w:hAnsi="宋体" w:eastAsia="宋体"/>
        </w:rPr>
      </w:pPr>
    </w:p>
    <w:p w14:paraId="1036A042">
      <w:pPr>
        <w:spacing w:line="312" w:lineRule="auto"/>
        <w:rPr>
          <w:rFonts w:ascii="宋体" w:hAnsi="宋体" w:eastAsia="宋体"/>
        </w:rPr>
      </w:pPr>
    </w:p>
    <w:p w14:paraId="0BAAFFD7">
      <w:pPr>
        <w:spacing w:line="312" w:lineRule="auto"/>
        <w:rPr>
          <w:rFonts w:ascii="宋体" w:hAnsi="宋体" w:eastAsia="宋体"/>
        </w:rPr>
      </w:pPr>
    </w:p>
    <w:p w14:paraId="49D1EAAF">
      <w:pPr>
        <w:spacing w:line="312" w:lineRule="auto"/>
        <w:rPr>
          <w:rFonts w:ascii="宋体" w:hAnsi="宋体" w:eastAsia="宋体"/>
        </w:rPr>
      </w:pPr>
    </w:p>
    <w:p w14:paraId="6703D2EA">
      <w:pPr>
        <w:spacing w:line="312" w:lineRule="auto"/>
        <w:rPr>
          <w:rFonts w:ascii="宋体" w:hAnsi="宋体" w:eastAsia="宋体"/>
        </w:rPr>
      </w:pPr>
    </w:p>
    <w:p w14:paraId="2DD4D688">
      <w:pPr>
        <w:spacing w:line="312" w:lineRule="auto"/>
        <w:rPr>
          <w:rFonts w:ascii="宋体" w:hAnsi="宋体" w:eastAsia="宋体"/>
        </w:rPr>
      </w:pPr>
    </w:p>
    <w:p w14:paraId="0D84B14B">
      <w:pPr>
        <w:spacing w:line="312" w:lineRule="auto"/>
        <w:rPr>
          <w:rFonts w:ascii="宋体" w:hAnsi="宋体" w:eastAsia="宋体"/>
        </w:rPr>
      </w:pPr>
    </w:p>
    <w:p w14:paraId="4E6608B4">
      <w:pPr>
        <w:spacing w:line="312" w:lineRule="auto"/>
        <w:rPr>
          <w:rFonts w:ascii="宋体" w:hAnsi="宋体" w:eastAsia="宋体"/>
        </w:rPr>
      </w:pPr>
    </w:p>
    <w:p w14:paraId="18E2576E">
      <w:pPr>
        <w:spacing w:line="312" w:lineRule="auto"/>
        <w:rPr>
          <w:rFonts w:ascii="宋体" w:hAnsi="宋体" w:eastAsia="宋体"/>
        </w:rPr>
      </w:pPr>
    </w:p>
    <w:p w14:paraId="79120752">
      <w:pPr>
        <w:spacing w:line="312" w:lineRule="auto"/>
        <w:rPr>
          <w:rFonts w:ascii="宋体" w:hAnsi="宋体" w:eastAsia="宋体"/>
        </w:rPr>
      </w:pPr>
    </w:p>
    <w:p w14:paraId="4F45708F">
      <w:pPr>
        <w:spacing w:line="312" w:lineRule="auto"/>
        <w:rPr>
          <w:rFonts w:ascii="宋体" w:hAnsi="宋体" w:eastAsia="宋体"/>
        </w:rPr>
      </w:pPr>
    </w:p>
    <w:p w14:paraId="3B02E828">
      <w:pPr>
        <w:spacing w:line="312" w:lineRule="auto"/>
        <w:rPr>
          <w:rFonts w:ascii="宋体" w:hAnsi="宋体" w:eastAsia="宋体"/>
        </w:rPr>
      </w:pPr>
    </w:p>
    <w:p w14:paraId="41A17B72">
      <w:pPr>
        <w:spacing w:line="312" w:lineRule="auto"/>
        <w:rPr>
          <w:rFonts w:ascii="宋体" w:hAnsi="宋体" w:eastAsia="宋体"/>
        </w:rPr>
      </w:pPr>
    </w:p>
    <w:p w14:paraId="7143C812">
      <w:pPr>
        <w:spacing w:line="312" w:lineRule="auto"/>
        <w:rPr>
          <w:rFonts w:ascii="宋体" w:hAnsi="宋体" w:eastAsia="宋体"/>
        </w:rPr>
      </w:pPr>
    </w:p>
    <w:p w14:paraId="5CAF068A">
      <w:pPr>
        <w:spacing w:line="312" w:lineRule="auto"/>
        <w:rPr>
          <w:rFonts w:ascii="宋体" w:hAnsi="宋体" w:eastAsia="宋体"/>
        </w:rPr>
      </w:pPr>
    </w:p>
    <w:p w14:paraId="4F201663">
      <w:pPr>
        <w:spacing w:line="312" w:lineRule="auto"/>
        <w:rPr>
          <w:rFonts w:ascii="宋体" w:hAnsi="宋体" w:eastAsia="宋体"/>
          <w:b/>
        </w:rPr>
      </w:pPr>
      <w:r>
        <w:rPr>
          <w:rFonts w:hint="eastAsia" w:ascii="宋体" w:hAnsi="宋体" w:eastAsia="宋体"/>
          <w:b/>
        </w:rPr>
        <w:t>2.质疑函格式</w:t>
      </w:r>
    </w:p>
    <w:p w14:paraId="4440E5DE">
      <w:pPr>
        <w:spacing w:line="312" w:lineRule="auto"/>
        <w:jc w:val="center"/>
        <w:rPr>
          <w:rFonts w:ascii="宋体" w:hAnsi="宋体" w:eastAsia="宋体"/>
          <w:b/>
        </w:rPr>
      </w:pPr>
      <w:r>
        <w:rPr>
          <w:rFonts w:hint="eastAsia" w:ascii="宋体" w:hAnsi="宋体" w:eastAsia="宋体"/>
          <w:b/>
          <w:sz w:val="28"/>
        </w:rPr>
        <w:t>质疑函</w:t>
      </w:r>
    </w:p>
    <w:p w14:paraId="6D7B7742">
      <w:pPr>
        <w:spacing w:line="312" w:lineRule="auto"/>
        <w:jc w:val="center"/>
        <w:rPr>
          <w:rFonts w:ascii="宋体" w:hAnsi="宋体" w:eastAsia="宋体"/>
        </w:rPr>
      </w:pPr>
      <w:r>
        <w:rPr>
          <w:rFonts w:hint="eastAsia" w:ascii="宋体" w:hAnsi="宋体" w:eastAsia="宋体"/>
          <w:b/>
        </w:rPr>
        <w:t>(可根据质疑内容增加或删减)</w:t>
      </w:r>
    </w:p>
    <w:p w14:paraId="18B8B580">
      <w:pPr>
        <w:spacing w:line="360" w:lineRule="auto"/>
        <w:rPr>
          <w:rFonts w:ascii="宋体" w:hAnsi="宋体" w:eastAsia="宋体"/>
        </w:rPr>
      </w:pPr>
      <w:r>
        <w:rPr>
          <w:rFonts w:hint="eastAsia" w:ascii="宋体" w:hAnsi="宋体" w:eastAsia="宋体"/>
        </w:rPr>
        <w:t>采购：</w:t>
      </w:r>
    </w:p>
    <w:p w14:paraId="22FF7EFB">
      <w:pPr>
        <w:spacing w:line="360" w:lineRule="auto"/>
        <w:ind w:firstLine="420" w:firstLineChars="200"/>
        <w:rPr>
          <w:rFonts w:ascii="宋体" w:hAnsi="宋体" w:eastAsia="宋体"/>
        </w:rPr>
      </w:pPr>
      <w:r>
        <w:rPr>
          <w:rFonts w:hint="eastAsia" w:ascii="宋体" w:hAnsi="宋体" w:eastAsia="宋体"/>
        </w:rPr>
        <w:t>我公司依法参与了（采购代理机构或采购人）于 年 月 日组织的政府采购活动。根据《政府采购法》和《政府采购供应商投诉处理办法》等规定，我公司认为</w:t>
      </w:r>
      <w:r>
        <w:rPr>
          <w:rFonts w:hint="eastAsia" w:ascii="宋体" w:hAnsi="宋体" w:eastAsia="宋体"/>
          <w:u w:val="single"/>
        </w:rPr>
        <w:t xml:space="preserve"> （采购项目名称）（项目编号：   ）</w:t>
      </w:r>
      <w:r>
        <w:rPr>
          <w:rFonts w:hint="eastAsia" w:ascii="宋体" w:hAnsi="宋体" w:eastAsia="宋体"/>
        </w:rPr>
        <w:t>项目的采购活动中，</w:t>
      </w:r>
      <w:r>
        <w:rPr>
          <w:rFonts w:hint="eastAsia" w:ascii="宋体" w:hAnsi="宋体" w:eastAsia="宋体"/>
          <w:u w:val="single"/>
        </w:rPr>
        <w:t>（采购文件、采购过程、中标/成交结果）</w:t>
      </w:r>
      <w:r>
        <w:rPr>
          <w:rFonts w:hint="eastAsia" w:ascii="宋体" w:hAnsi="宋体" w:eastAsia="宋体"/>
        </w:rPr>
        <w:t>损害了我公司权益，特提出质疑。</w:t>
      </w:r>
    </w:p>
    <w:p w14:paraId="5D257949">
      <w:pPr>
        <w:spacing w:line="360" w:lineRule="auto"/>
        <w:ind w:firstLine="420" w:firstLineChars="200"/>
        <w:rPr>
          <w:rFonts w:ascii="宋体" w:hAnsi="宋体" w:eastAsia="宋体"/>
        </w:rPr>
      </w:pPr>
      <w:r>
        <w:rPr>
          <w:rFonts w:hint="eastAsia" w:ascii="宋体" w:hAnsi="宋体" w:eastAsia="宋体"/>
        </w:rPr>
        <w:t>一、我公司认为项目的（采购文件、采购过程、中标/成交结果）损害了我司权益，具体事项如下（每个质疑事项应有与之相对应的证据予以支持。质疑事项属于涉密的，应提供信息来源或有效证据）：</w:t>
      </w:r>
    </w:p>
    <w:p w14:paraId="1DCE4CB6">
      <w:pPr>
        <w:spacing w:line="360" w:lineRule="auto"/>
        <w:ind w:firstLine="420" w:firstLineChars="200"/>
        <w:rPr>
          <w:rFonts w:ascii="宋体" w:hAnsi="宋体" w:eastAsia="宋体"/>
        </w:rPr>
      </w:pPr>
      <w:r>
        <w:rPr>
          <w:rFonts w:hint="eastAsia" w:ascii="宋体" w:hAnsi="宋体" w:eastAsia="宋体"/>
        </w:rPr>
        <w:t>（ ）质疑采购文件</w:t>
      </w:r>
    </w:p>
    <w:p w14:paraId="75B7ED11">
      <w:pPr>
        <w:spacing w:line="360" w:lineRule="auto"/>
        <w:ind w:firstLine="420" w:firstLineChars="200"/>
        <w:rPr>
          <w:rFonts w:ascii="宋体" w:hAnsi="宋体" w:eastAsia="宋体"/>
          <w:u w:val="single"/>
        </w:rPr>
      </w:pPr>
      <w:r>
        <w:rPr>
          <w:rFonts w:hint="eastAsia" w:ascii="宋体" w:hAnsi="宋体" w:eastAsia="宋体"/>
        </w:rPr>
        <w:t>1．质疑内容采购文件</w:t>
      </w:r>
      <w:r>
        <w:rPr>
          <w:rFonts w:hint="eastAsia" w:ascii="宋体" w:hAnsi="宋体" w:eastAsia="宋体"/>
          <w:u w:val="single"/>
        </w:rPr>
        <w:t xml:space="preserve">   </w:t>
      </w:r>
      <w:r>
        <w:rPr>
          <w:rFonts w:hint="eastAsia" w:ascii="宋体" w:hAnsi="宋体" w:eastAsia="宋体"/>
        </w:rPr>
        <w:t>页，内容“</w:t>
      </w:r>
      <w:r>
        <w:rPr>
          <w:rFonts w:hint="eastAsia" w:ascii="宋体" w:hAnsi="宋体" w:eastAsia="宋体"/>
          <w:u w:val="single"/>
        </w:rPr>
        <w:t xml:space="preserve">         </w:t>
      </w:r>
      <w:r>
        <w:rPr>
          <w:rFonts w:hint="eastAsia" w:ascii="宋体" w:hAnsi="宋体" w:eastAsia="宋体"/>
        </w:rPr>
        <w:t>” 损害了我公司权益</w:t>
      </w:r>
    </w:p>
    <w:p w14:paraId="3FA44533">
      <w:pPr>
        <w:spacing w:line="360" w:lineRule="auto"/>
        <w:ind w:firstLine="424" w:firstLineChars="202"/>
        <w:rPr>
          <w:rFonts w:ascii="宋体" w:hAnsi="宋体" w:eastAsia="宋体"/>
        </w:rPr>
      </w:pPr>
      <w:r>
        <w:rPr>
          <w:rFonts w:hint="eastAsia" w:ascii="宋体" w:hAnsi="宋体" w:eastAsia="宋体"/>
        </w:rPr>
        <w:t>事实依据：</w:t>
      </w:r>
      <w:r>
        <w:rPr>
          <w:rFonts w:hint="eastAsia" w:ascii="宋体" w:hAnsi="宋体" w:eastAsia="宋体"/>
          <w:u w:val="single"/>
        </w:rPr>
        <w:t xml:space="preserve">                     </w:t>
      </w:r>
      <w:r>
        <w:rPr>
          <w:rFonts w:hint="eastAsia" w:ascii="宋体" w:hAnsi="宋体" w:eastAsia="宋体"/>
        </w:rPr>
        <w:t>（证据见附件第   页）</w:t>
      </w:r>
    </w:p>
    <w:p w14:paraId="3018FAA0">
      <w:pPr>
        <w:spacing w:line="360" w:lineRule="auto"/>
        <w:ind w:firstLine="424" w:firstLineChars="202"/>
        <w:rPr>
          <w:rFonts w:ascii="宋体" w:hAnsi="宋体" w:eastAsia="宋体"/>
          <w:u w:val="single"/>
        </w:rPr>
      </w:pPr>
      <w:r>
        <w:rPr>
          <w:rFonts w:hint="eastAsia" w:ascii="宋体" w:hAnsi="宋体" w:eastAsia="宋体"/>
        </w:rPr>
        <w:t>法律依据：</w:t>
      </w:r>
      <w:r>
        <w:rPr>
          <w:rFonts w:hint="eastAsia" w:ascii="宋体" w:hAnsi="宋体" w:eastAsia="宋体"/>
          <w:u w:val="single"/>
        </w:rPr>
        <w:t xml:space="preserve">                     </w:t>
      </w:r>
    </w:p>
    <w:p w14:paraId="79FD5BB2">
      <w:pPr>
        <w:spacing w:line="360" w:lineRule="auto"/>
        <w:ind w:firstLine="424" w:firstLineChars="202"/>
        <w:rPr>
          <w:rFonts w:ascii="宋体" w:hAnsi="宋体" w:eastAsia="宋体"/>
          <w:u w:val="single"/>
        </w:rPr>
      </w:pPr>
      <w:r>
        <w:rPr>
          <w:rFonts w:hint="eastAsia" w:ascii="宋体" w:hAnsi="宋体" w:eastAsia="宋体"/>
        </w:rPr>
        <w:t>我方请求采购文件做如下修改：</w:t>
      </w:r>
      <w:r>
        <w:rPr>
          <w:rFonts w:hint="eastAsia" w:ascii="宋体" w:hAnsi="宋体" w:eastAsia="宋体"/>
          <w:u w:val="single"/>
        </w:rPr>
        <w:t xml:space="preserve">                  </w:t>
      </w:r>
    </w:p>
    <w:p w14:paraId="5C1A2F7E">
      <w:pPr>
        <w:spacing w:line="360" w:lineRule="auto"/>
        <w:ind w:firstLine="424" w:firstLineChars="202"/>
        <w:rPr>
          <w:rFonts w:ascii="宋体" w:hAnsi="宋体" w:eastAsia="宋体"/>
        </w:rPr>
      </w:pPr>
      <w:r>
        <w:rPr>
          <w:rFonts w:hint="eastAsia" w:ascii="宋体" w:hAnsi="宋体" w:eastAsia="宋体"/>
        </w:rPr>
        <w:t>我方对采购文件其他内容无质疑。</w:t>
      </w:r>
    </w:p>
    <w:p w14:paraId="5E84AD72">
      <w:pPr>
        <w:spacing w:line="360" w:lineRule="auto"/>
        <w:ind w:firstLine="424" w:firstLineChars="202"/>
        <w:rPr>
          <w:rFonts w:ascii="宋体" w:hAnsi="宋体" w:eastAsia="宋体"/>
        </w:rPr>
      </w:pPr>
      <w:r>
        <w:rPr>
          <w:rFonts w:hint="eastAsia" w:ascii="宋体" w:hAnsi="宋体" w:eastAsia="宋体"/>
        </w:rPr>
        <w:t>（ ）质疑采购过程</w:t>
      </w:r>
    </w:p>
    <w:p w14:paraId="7B4EA7BF">
      <w:pPr>
        <w:spacing w:line="360" w:lineRule="auto"/>
        <w:ind w:firstLine="424" w:firstLineChars="202"/>
        <w:rPr>
          <w:rFonts w:ascii="宋体" w:hAnsi="宋体" w:eastAsia="宋体"/>
        </w:rPr>
      </w:pPr>
      <w:r>
        <w:rPr>
          <w:rFonts w:hint="eastAsia" w:ascii="宋体" w:hAnsi="宋体" w:eastAsia="宋体"/>
        </w:rPr>
        <w:t>1．于</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日，在</w:t>
      </w:r>
      <w:r>
        <w:rPr>
          <w:rFonts w:hint="eastAsia" w:ascii="宋体" w:hAnsi="宋体" w:eastAsia="宋体"/>
          <w:u w:val="single"/>
        </w:rPr>
        <w:t xml:space="preserve">             </w:t>
      </w:r>
      <w:r>
        <w:rPr>
          <w:rFonts w:hint="eastAsia" w:ascii="宋体" w:hAnsi="宋体" w:eastAsia="宋体"/>
        </w:rPr>
        <w:t>进行的（收取采购文件（样品）、开标、谈判）过程，发生损害了我公司权益的事项，</w:t>
      </w:r>
    </w:p>
    <w:p w14:paraId="13D01611">
      <w:pPr>
        <w:spacing w:line="360" w:lineRule="auto"/>
        <w:ind w:firstLine="424" w:firstLineChars="202"/>
        <w:rPr>
          <w:rFonts w:ascii="宋体" w:hAnsi="宋体" w:eastAsia="宋体"/>
        </w:rPr>
      </w:pPr>
      <w:r>
        <w:rPr>
          <w:rFonts w:hint="eastAsia" w:ascii="宋体" w:hAnsi="宋体" w:eastAsia="宋体"/>
        </w:rPr>
        <w:t>事实依据：</w:t>
      </w:r>
      <w:r>
        <w:rPr>
          <w:rFonts w:hint="eastAsia" w:ascii="宋体" w:hAnsi="宋体" w:eastAsia="宋体"/>
          <w:u w:val="single"/>
        </w:rPr>
        <w:t xml:space="preserve">                     </w:t>
      </w:r>
      <w:r>
        <w:rPr>
          <w:rFonts w:hint="eastAsia" w:ascii="宋体" w:hAnsi="宋体" w:eastAsia="宋体"/>
        </w:rPr>
        <w:t>（证据见附件第   页）</w:t>
      </w:r>
    </w:p>
    <w:p w14:paraId="30BBB287">
      <w:pPr>
        <w:spacing w:line="360" w:lineRule="auto"/>
        <w:ind w:firstLine="424" w:firstLineChars="202"/>
        <w:rPr>
          <w:rFonts w:ascii="宋体" w:hAnsi="宋体" w:eastAsia="宋体"/>
        </w:rPr>
      </w:pPr>
      <w:r>
        <w:rPr>
          <w:rFonts w:hint="eastAsia" w:ascii="宋体" w:hAnsi="宋体" w:eastAsia="宋体"/>
        </w:rPr>
        <w:t>法律依据：</w:t>
      </w:r>
      <w:r>
        <w:rPr>
          <w:rFonts w:hint="eastAsia" w:ascii="宋体" w:hAnsi="宋体" w:eastAsia="宋体"/>
          <w:u w:val="single"/>
        </w:rPr>
        <w:t xml:space="preserve">                     </w:t>
      </w:r>
    </w:p>
    <w:p w14:paraId="39F32F34">
      <w:pPr>
        <w:spacing w:line="360" w:lineRule="auto"/>
        <w:ind w:firstLine="424" w:firstLineChars="202"/>
        <w:rPr>
          <w:rFonts w:ascii="宋体" w:hAnsi="宋体" w:eastAsia="宋体"/>
          <w:u w:val="single"/>
        </w:rPr>
      </w:pPr>
      <w:r>
        <w:rPr>
          <w:rFonts w:hint="eastAsia" w:ascii="宋体" w:hAnsi="宋体" w:eastAsia="宋体"/>
        </w:rPr>
        <w:t>我方请求：</w:t>
      </w:r>
      <w:r>
        <w:rPr>
          <w:rFonts w:hint="eastAsia" w:ascii="宋体" w:hAnsi="宋体" w:eastAsia="宋体"/>
          <w:u w:val="single"/>
        </w:rPr>
        <w:t xml:space="preserve">                     </w:t>
      </w:r>
    </w:p>
    <w:p w14:paraId="3BB2C008">
      <w:pPr>
        <w:spacing w:line="360" w:lineRule="auto"/>
        <w:ind w:firstLine="424" w:firstLineChars="202"/>
        <w:rPr>
          <w:rFonts w:ascii="宋体" w:hAnsi="宋体" w:eastAsia="宋体"/>
        </w:rPr>
      </w:pPr>
      <w:r>
        <w:rPr>
          <w:rFonts w:hint="eastAsia" w:ascii="宋体" w:hAnsi="宋体" w:eastAsia="宋体"/>
        </w:rPr>
        <w:t>我方对其他采购过程无质疑。</w:t>
      </w:r>
    </w:p>
    <w:p w14:paraId="6F381768">
      <w:pPr>
        <w:spacing w:line="360" w:lineRule="auto"/>
        <w:ind w:firstLine="424" w:firstLineChars="202"/>
        <w:rPr>
          <w:rFonts w:ascii="宋体" w:hAnsi="宋体" w:eastAsia="宋体"/>
        </w:rPr>
      </w:pPr>
      <w:r>
        <w:rPr>
          <w:rFonts w:hint="eastAsia" w:ascii="宋体" w:hAnsi="宋体" w:eastAsia="宋体"/>
        </w:rPr>
        <w:t>（ ）质疑采购结果</w:t>
      </w:r>
    </w:p>
    <w:p w14:paraId="0E69A442">
      <w:pPr>
        <w:spacing w:line="360" w:lineRule="auto"/>
        <w:ind w:firstLine="424" w:firstLineChars="202"/>
        <w:rPr>
          <w:rFonts w:ascii="宋体" w:hAnsi="宋体" w:eastAsia="宋体"/>
        </w:rPr>
      </w:pPr>
      <w:r>
        <w:rPr>
          <w:rFonts w:hint="eastAsia" w:ascii="宋体" w:hAnsi="宋体" w:eastAsia="宋体"/>
        </w:rPr>
        <w:t>1．于</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日公布的中标（成交）结果，发生损害了我公司权益的事项，</w:t>
      </w:r>
    </w:p>
    <w:p w14:paraId="5B90FB01">
      <w:pPr>
        <w:spacing w:line="360" w:lineRule="auto"/>
        <w:ind w:firstLine="424" w:firstLineChars="202"/>
        <w:rPr>
          <w:rFonts w:ascii="宋体" w:hAnsi="宋体" w:eastAsia="宋体"/>
        </w:rPr>
      </w:pPr>
      <w:r>
        <w:rPr>
          <w:rFonts w:hint="eastAsia" w:ascii="宋体" w:hAnsi="宋体" w:eastAsia="宋体"/>
        </w:rPr>
        <w:t>事实依据：</w:t>
      </w:r>
      <w:r>
        <w:rPr>
          <w:rFonts w:hint="eastAsia" w:ascii="宋体" w:hAnsi="宋体" w:eastAsia="宋体"/>
          <w:u w:val="single"/>
        </w:rPr>
        <w:t xml:space="preserve">                     </w:t>
      </w:r>
      <w:r>
        <w:rPr>
          <w:rFonts w:hint="eastAsia" w:ascii="宋体" w:hAnsi="宋体" w:eastAsia="宋体"/>
        </w:rPr>
        <w:t>（证据见附件第   页）</w:t>
      </w:r>
    </w:p>
    <w:p w14:paraId="04391C22">
      <w:pPr>
        <w:spacing w:line="360" w:lineRule="auto"/>
        <w:ind w:firstLine="424" w:firstLineChars="202"/>
        <w:rPr>
          <w:rFonts w:ascii="宋体" w:hAnsi="宋体" w:eastAsia="宋体"/>
        </w:rPr>
      </w:pPr>
      <w:r>
        <w:rPr>
          <w:rFonts w:hint="eastAsia" w:ascii="宋体" w:hAnsi="宋体" w:eastAsia="宋体"/>
        </w:rPr>
        <w:t>法律依据：</w:t>
      </w:r>
      <w:r>
        <w:rPr>
          <w:rFonts w:hint="eastAsia" w:ascii="宋体" w:hAnsi="宋体" w:eastAsia="宋体"/>
          <w:u w:val="single"/>
        </w:rPr>
        <w:t xml:space="preserve">                     </w:t>
      </w:r>
    </w:p>
    <w:p w14:paraId="63EAF245">
      <w:pPr>
        <w:spacing w:line="360" w:lineRule="auto"/>
        <w:ind w:firstLine="424" w:firstLineChars="202"/>
        <w:rPr>
          <w:rFonts w:ascii="宋体" w:hAnsi="宋体" w:eastAsia="宋体"/>
          <w:u w:val="single"/>
        </w:rPr>
      </w:pPr>
      <w:r>
        <w:rPr>
          <w:rFonts w:hint="eastAsia" w:ascii="宋体" w:hAnsi="宋体" w:eastAsia="宋体"/>
        </w:rPr>
        <w:t>我方请求：</w:t>
      </w:r>
      <w:r>
        <w:rPr>
          <w:rFonts w:hint="eastAsia" w:ascii="宋体" w:hAnsi="宋体" w:eastAsia="宋体"/>
          <w:u w:val="single"/>
        </w:rPr>
        <w:t xml:space="preserve">                     </w:t>
      </w:r>
    </w:p>
    <w:p w14:paraId="50E62093">
      <w:pPr>
        <w:spacing w:line="360" w:lineRule="auto"/>
        <w:ind w:firstLine="424" w:firstLineChars="202"/>
        <w:rPr>
          <w:rFonts w:ascii="宋体" w:hAnsi="宋体" w:eastAsia="宋体"/>
        </w:rPr>
      </w:pPr>
      <w:r>
        <w:rPr>
          <w:rFonts w:hint="eastAsia" w:ascii="宋体" w:hAnsi="宋体" w:eastAsia="宋体"/>
        </w:rPr>
        <w:t>我方对中标（成交）结果公告其他内容无质疑。</w:t>
      </w:r>
    </w:p>
    <w:p w14:paraId="61FEE65B">
      <w:pPr>
        <w:spacing w:line="360" w:lineRule="auto"/>
        <w:ind w:firstLine="420" w:firstLineChars="200"/>
        <w:rPr>
          <w:rFonts w:ascii="宋体" w:hAnsi="宋体" w:eastAsia="宋体"/>
        </w:rPr>
      </w:pPr>
      <w:r>
        <w:rPr>
          <w:rFonts w:hint="eastAsia" w:ascii="宋体" w:hAnsi="宋体" w:eastAsia="宋体"/>
        </w:rPr>
        <w:t>二、为维护我公司的合法权益，现要求贵方就上述质疑事项依照政府采购有关规定在限期内作出回复。</w:t>
      </w:r>
    </w:p>
    <w:p w14:paraId="7DE88E79">
      <w:pPr>
        <w:spacing w:line="360" w:lineRule="auto"/>
        <w:ind w:firstLine="424" w:firstLineChars="202"/>
        <w:rPr>
          <w:rFonts w:ascii="宋体" w:hAnsi="宋体" w:eastAsia="宋体"/>
          <w:u w:val="single"/>
        </w:rPr>
      </w:pPr>
      <w:r>
        <w:rPr>
          <w:rFonts w:hint="eastAsia" w:ascii="宋体" w:hAnsi="宋体" w:eastAsia="宋体"/>
        </w:rPr>
        <w:t>质疑供应商：</w:t>
      </w:r>
      <w:r>
        <w:rPr>
          <w:rFonts w:hint="eastAsia" w:ascii="宋体" w:hAnsi="宋体" w:eastAsia="宋体"/>
          <w:u w:val="single"/>
        </w:rPr>
        <w:t xml:space="preserve"> （签章） </w:t>
      </w:r>
      <w:r>
        <w:rPr>
          <w:rFonts w:hint="eastAsia" w:ascii="宋体" w:hAnsi="宋体" w:eastAsia="宋体"/>
        </w:rPr>
        <w:t xml:space="preserve">        法定代表人：</w:t>
      </w:r>
      <w:r>
        <w:rPr>
          <w:rFonts w:hint="eastAsia" w:ascii="宋体" w:hAnsi="宋体" w:eastAsia="宋体"/>
          <w:u w:val="single"/>
        </w:rPr>
        <w:t xml:space="preserve">       </w:t>
      </w:r>
      <w:r>
        <w:rPr>
          <w:rFonts w:hint="eastAsia" w:ascii="宋体" w:hAnsi="宋体" w:eastAsia="宋体"/>
        </w:rPr>
        <w:t>（签名或盖章）</w:t>
      </w:r>
    </w:p>
    <w:p w14:paraId="658BF6E7">
      <w:pPr>
        <w:spacing w:line="360" w:lineRule="auto"/>
        <w:ind w:firstLine="424" w:firstLineChars="202"/>
        <w:rPr>
          <w:rFonts w:ascii="宋体" w:hAnsi="宋体" w:eastAsia="宋体"/>
        </w:rPr>
      </w:pPr>
      <w:r>
        <w:rPr>
          <w:rFonts w:hint="eastAsia" w:ascii="宋体" w:hAnsi="宋体" w:eastAsia="宋体"/>
        </w:rPr>
        <w:t>主要负责人 ：</w:t>
      </w:r>
      <w:r>
        <w:rPr>
          <w:rFonts w:hint="eastAsia" w:ascii="宋体" w:hAnsi="宋体" w:eastAsia="宋体"/>
          <w:u w:val="single"/>
        </w:rPr>
        <w:t xml:space="preserve">      </w:t>
      </w:r>
      <w:r>
        <w:rPr>
          <w:rFonts w:hint="eastAsia" w:ascii="宋体" w:hAnsi="宋体" w:eastAsia="宋体"/>
        </w:rPr>
        <w:t>（签名或盖章），职位：</w:t>
      </w:r>
    </w:p>
    <w:p w14:paraId="68B7CB4F">
      <w:pPr>
        <w:spacing w:line="360" w:lineRule="auto"/>
        <w:ind w:firstLine="424" w:firstLineChars="202"/>
        <w:rPr>
          <w:rFonts w:ascii="宋体" w:hAnsi="宋体" w:eastAsia="宋体"/>
          <w:u w:val="single"/>
        </w:rPr>
      </w:pPr>
      <w:r>
        <w:rPr>
          <w:rFonts w:hint="eastAsia" w:ascii="宋体" w:hAnsi="宋体" w:eastAsia="宋体"/>
        </w:rPr>
        <w:t>项目联系人：</w:t>
      </w:r>
      <w:r>
        <w:rPr>
          <w:rFonts w:hint="eastAsia" w:ascii="宋体" w:hAnsi="宋体" w:eastAsia="宋体"/>
          <w:u w:val="single"/>
        </w:rPr>
        <w:t xml:space="preserve">       </w:t>
      </w:r>
      <w:r>
        <w:rPr>
          <w:rFonts w:hint="eastAsia" w:ascii="宋体" w:hAnsi="宋体" w:eastAsia="宋体"/>
        </w:rPr>
        <w:t>电话（手机/座机）：</w:t>
      </w:r>
      <w:r>
        <w:rPr>
          <w:rFonts w:hint="eastAsia" w:ascii="宋体" w:hAnsi="宋体" w:eastAsia="宋体"/>
          <w:u w:val="single"/>
        </w:rPr>
        <w:t xml:space="preserve">     </w:t>
      </w:r>
    </w:p>
    <w:p w14:paraId="59D51FE8">
      <w:pPr>
        <w:spacing w:line="360" w:lineRule="auto"/>
        <w:ind w:firstLine="424" w:firstLineChars="202"/>
        <w:rPr>
          <w:rFonts w:ascii="宋体" w:hAnsi="宋体" w:eastAsia="宋体"/>
          <w:u w:val="single"/>
        </w:rPr>
      </w:pPr>
      <w:r>
        <w:rPr>
          <w:rFonts w:hint="eastAsia" w:ascii="宋体" w:hAnsi="宋体" w:eastAsia="宋体"/>
        </w:rPr>
        <w:t>地址：</w:t>
      </w:r>
      <w:r>
        <w:rPr>
          <w:rFonts w:hint="eastAsia" w:ascii="宋体" w:hAnsi="宋体" w:eastAsia="宋体"/>
          <w:u w:val="single"/>
        </w:rPr>
        <w:t xml:space="preserve">                    </w:t>
      </w:r>
      <w:r>
        <w:rPr>
          <w:rFonts w:hint="eastAsia" w:ascii="宋体" w:hAnsi="宋体" w:eastAsia="宋体"/>
        </w:rPr>
        <w:t>邮编：</w:t>
      </w:r>
      <w:r>
        <w:rPr>
          <w:rFonts w:hint="eastAsia" w:ascii="宋体" w:hAnsi="宋体" w:eastAsia="宋体"/>
          <w:u w:val="single"/>
        </w:rPr>
        <w:t xml:space="preserve">       </w:t>
      </w:r>
    </w:p>
    <w:p w14:paraId="1ABE3B46">
      <w:pPr>
        <w:spacing w:line="360" w:lineRule="auto"/>
        <w:ind w:firstLine="424" w:firstLineChars="202"/>
        <w:rPr>
          <w:rFonts w:ascii="宋体" w:hAnsi="宋体" w:eastAsia="宋体"/>
          <w:u w:val="single"/>
        </w:rPr>
      </w:pPr>
      <w:r>
        <w:rPr>
          <w:rFonts w:hint="eastAsia" w:ascii="宋体" w:hAnsi="宋体" w:eastAsia="宋体"/>
        </w:rPr>
        <w:t>电子邮箱：</w:t>
      </w:r>
      <w:r>
        <w:rPr>
          <w:rFonts w:hint="eastAsia" w:ascii="宋体" w:hAnsi="宋体" w:eastAsia="宋体"/>
          <w:u w:val="single"/>
        </w:rPr>
        <w:t xml:space="preserve">                        </w:t>
      </w:r>
      <w:r>
        <w:rPr>
          <w:rFonts w:hint="eastAsia" w:ascii="宋体" w:hAnsi="宋体" w:eastAsia="宋体"/>
        </w:rPr>
        <w:t>传真：</w:t>
      </w:r>
      <w:r>
        <w:rPr>
          <w:rFonts w:hint="eastAsia" w:ascii="宋体" w:hAnsi="宋体" w:eastAsia="宋体"/>
          <w:u w:val="single"/>
        </w:rPr>
        <w:t xml:space="preserve">         </w:t>
      </w:r>
      <w:r>
        <w:rPr>
          <w:rFonts w:hint="eastAsia" w:ascii="宋体" w:hAnsi="宋体" w:eastAsia="宋体"/>
        </w:rPr>
        <w:t>日期：</w:t>
      </w:r>
      <w:r>
        <w:rPr>
          <w:rFonts w:hint="eastAsia" w:ascii="宋体" w:hAnsi="宋体" w:eastAsia="宋体"/>
          <w:u w:val="single"/>
        </w:rPr>
        <w:t xml:space="preserve">   年   月   日</w:t>
      </w:r>
    </w:p>
    <w:p w14:paraId="6F0341F1">
      <w:pPr>
        <w:spacing w:line="312" w:lineRule="auto"/>
        <w:rPr>
          <w:rFonts w:ascii="宋体" w:hAnsi="宋体" w:eastAsia="宋体"/>
        </w:rPr>
      </w:pPr>
      <w:r>
        <w:rPr>
          <w:rFonts w:hint="eastAsia" w:ascii="宋体" w:hAnsi="宋体" w:eastAsia="宋体"/>
        </w:rPr>
        <w:t>备注：</w:t>
      </w:r>
    </w:p>
    <w:p w14:paraId="5E8AFEF4">
      <w:pPr>
        <w:spacing w:line="312" w:lineRule="auto"/>
        <w:ind w:firstLine="420" w:firstLineChars="200"/>
        <w:rPr>
          <w:rFonts w:ascii="宋体" w:hAnsi="宋体" w:eastAsia="宋体"/>
        </w:rPr>
      </w:pPr>
      <w:r>
        <w:rPr>
          <w:rFonts w:hint="eastAsia" w:ascii="宋体" w:hAnsi="宋体" w:eastAsia="宋体"/>
        </w:rPr>
        <w:t>1.每个质疑事项应有与之相对应的证据予以支持。质疑事项属于涉密的，应提供信息来源或有效证据。</w:t>
      </w:r>
    </w:p>
    <w:p w14:paraId="12ADFE5A">
      <w:pPr>
        <w:spacing w:line="312" w:lineRule="auto"/>
        <w:ind w:firstLine="420" w:firstLineChars="200"/>
        <w:rPr>
          <w:rFonts w:ascii="宋体" w:hAnsi="宋体" w:eastAsia="宋体"/>
        </w:rPr>
      </w:pPr>
      <w:r>
        <w:rPr>
          <w:rFonts w:hint="eastAsia" w:ascii="宋体" w:hAnsi="宋体" w:eastAsia="宋体"/>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6A370861">
      <w:pPr>
        <w:spacing w:line="312" w:lineRule="auto"/>
        <w:ind w:firstLine="420" w:firstLineChars="200"/>
        <w:rPr>
          <w:rFonts w:ascii="宋体" w:hAnsi="宋体" w:eastAsia="宋体"/>
        </w:rPr>
      </w:pPr>
      <w:r>
        <w:rPr>
          <w:rFonts w:hint="eastAsia" w:ascii="宋体" w:hAnsi="宋体" w:eastAsia="宋体"/>
        </w:rPr>
        <w:t>3.质疑函应当署名。质疑人为自然人的，应当有本人签名；质疑人为法人或者其他组织的，应当由法定代表人或者主要负责人签字盖章并加盖公章。</w:t>
      </w:r>
    </w:p>
    <w:p w14:paraId="46B6E849">
      <w:pPr>
        <w:spacing w:line="312" w:lineRule="auto"/>
        <w:ind w:firstLine="420" w:firstLineChars="200"/>
        <w:rPr>
          <w:rFonts w:ascii="宋体" w:hAnsi="宋体" w:eastAsia="宋体"/>
        </w:rPr>
      </w:pPr>
      <w:r>
        <w:rPr>
          <w:rFonts w:hint="eastAsia" w:ascii="宋体" w:hAnsi="宋体" w:eastAsia="宋体"/>
        </w:rPr>
        <w:t>不按上述要求拟写的质疑函，采购代理机构将有可能不予受理。</w:t>
      </w:r>
    </w:p>
    <w:p w14:paraId="18A95678">
      <w:pPr>
        <w:spacing w:line="312" w:lineRule="auto"/>
        <w:rPr>
          <w:rFonts w:ascii="宋体" w:hAnsi="宋体" w:eastAsia="宋体"/>
        </w:rPr>
      </w:pPr>
    </w:p>
    <w:p w14:paraId="77671457">
      <w:pPr>
        <w:spacing w:line="312" w:lineRule="auto"/>
        <w:rPr>
          <w:rFonts w:ascii="宋体" w:hAnsi="宋体" w:eastAsia="宋体"/>
        </w:rPr>
      </w:pPr>
    </w:p>
    <w:p w14:paraId="2010C17B">
      <w:pPr>
        <w:spacing w:line="312" w:lineRule="auto"/>
        <w:rPr>
          <w:rFonts w:ascii="宋体" w:hAnsi="宋体" w:eastAsia="宋体"/>
        </w:rPr>
      </w:pPr>
    </w:p>
    <w:sectPr>
      <w:headerReference r:id="rId4" w:type="first"/>
      <w:footerReference r:id="rId6" w:type="first"/>
      <w:headerReference r:id="rId3" w:type="default"/>
      <w:footerReference r:id="rId5" w:type="default"/>
      <w:pgSz w:w="11906" w:h="16838"/>
      <w:pgMar w:top="1135" w:right="1133" w:bottom="1134" w:left="1276"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UDAHR+ºÚÌå">
    <w:altName w:val="微软雅黑"/>
    <w:panose1 w:val="00000000000000000000"/>
    <w:charset w:val="01"/>
    <w:family w:val="modern"/>
    <w:pitch w:val="default"/>
    <w:sig w:usb0="00000000" w:usb1="00000000" w:usb2="00000016" w:usb3="00000000" w:csb0="00040001" w:csb1="00000000"/>
  </w:font>
  <w:font w:name="DVAPLS+ËÎÌå">
    <w:altName w:val="微软雅黑"/>
    <w:panose1 w:val="00000000000000000000"/>
    <w:charset w:val="01"/>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116326"/>
    </w:sdtPr>
    <w:sdtEndPr>
      <w:rPr>
        <w:rFonts w:ascii="宋体" w:hAnsi="宋体" w:eastAsia="宋体"/>
      </w:rPr>
    </w:sdtEndPr>
    <w:sdtContent>
      <w:p w14:paraId="14ED39ED">
        <w:pPr>
          <w:pStyle w:val="2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5</w:t>
        </w:r>
        <w:r>
          <w:rPr>
            <w:rFonts w:ascii="宋体" w:hAnsi="宋体" w:eastAsia="宋体"/>
            <w:lang w:val="zh-CN"/>
          </w:rPr>
          <w:fldChar w:fldCharType="end"/>
        </w:r>
      </w:p>
    </w:sdtContent>
  </w:sdt>
  <w:p w14:paraId="258E5D8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062283"/>
    </w:sdtPr>
    <w:sdtEndPr>
      <w:rPr>
        <w:rFonts w:ascii="宋体" w:hAnsi="宋体" w:eastAsia="宋体"/>
      </w:rPr>
    </w:sdtEndPr>
    <w:sdtContent>
      <w:p w14:paraId="50C5C608">
        <w:pPr>
          <w:pStyle w:val="2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14:paraId="242E9A6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68FB">
    <w:pPr>
      <w:pStyle w:val="2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C16A">
    <w:pPr>
      <w:pStyle w:val="2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D7487"/>
    <w:multiLevelType w:val="singleLevel"/>
    <w:tmpl w:val="8D8D7487"/>
    <w:lvl w:ilvl="0" w:tentative="0">
      <w:start w:val="3"/>
      <w:numFmt w:val="chineseCounting"/>
      <w:suff w:val="nothing"/>
      <w:lvlText w:val="%1、"/>
      <w:lvlJc w:val="left"/>
      <w:rPr>
        <w:rFonts w:hint="eastAsia"/>
      </w:rPr>
    </w:lvl>
  </w:abstractNum>
  <w:abstractNum w:abstractNumId="1">
    <w:nsid w:val="9910A4E7"/>
    <w:multiLevelType w:val="multilevel"/>
    <w:tmpl w:val="9910A4E7"/>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ascii="宋体" w:hAnsi="宋体" w:eastAsia="宋体"/>
        <w:b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A6E568C7"/>
    <w:multiLevelType w:val="singleLevel"/>
    <w:tmpl w:val="A6E568C7"/>
    <w:lvl w:ilvl="0" w:tentative="0">
      <w:start w:val="1"/>
      <w:numFmt w:val="chineseCounting"/>
      <w:suff w:val="nothing"/>
      <w:lvlText w:val="%1、"/>
      <w:lvlJc w:val="left"/>
      <w:pPr>
        <w:ind w:left="0" w:firstLine="420"/>
      </w:pPr>
      <w:rPr>
        <w:rFonts w:hint="eastAsia"/>
      </w:rPr>
    </w:lvl>
  </w:abstractNum>
  <w:abstractNum w:abstractNumId="3">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E06E68"/>
    <w:multiLevelType w:val="multilevel"/>
    <w:tmpl w:val="54E06E68"/>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ascii="宋体" w:hAnsi="宋体" w:eastAsia="宋体"/>
        <w:b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31F62C"/>
    <w:multiLevelType w:val="multilevel"/>
    <w:tmpl w:val="5A31F62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WMxMTVjMzZlZjFmZjIyMTM1MWIxZWIyYzNhNGYifQ=="/>
  </w:docVars>
  <w:rsids>
    <w:rsidRoot w:val="00092181"/>
    <w:rsid w:val="00001F5B"/>
    <w:rsid w:val="00004AD9"/>
    <w:rsid w:val="000062DE"/>
    <w:rsid w:val="000065CF"/>
    <w:rsid w:val="00007E93"/>
    <w:rsid w:val="000102DC"/>
    <w:rsid w:val="000121D6"/>
    <w:rsid w:val="00012AF9"/>
    <w:rsid w:val="000159C1"/>
    <w:rsid w:val="00016CC5"/>
    <w:rsid w:val="00017EBA"/>
    <w:rsid w:val="00021613"/>
    <w:rsid w:val="000217ED"/>
    <w:rsid w:val="0002306F"/>
    <w:rsid w:val="000240D5"/>
    <w:rsid w:val="00027EF6"/>
    <w:rsid w:val="00030A28"/>
    <w:rsid w:val="00030BAC"/>
    <w:rsid w:val="000316CC"/>
    <w:rsid w:val="00031BEF"/>
    <w:rsid w:val="00032C51"/>
    <w:rsid w:val="0003542E"/>
    <w:rsid w:val="000375A4"/>
    <w:rsid w:val="00041D46"/>
    <w:rsid w:val="00042AF5"/>
    <w:rsid w:val="0004395E"/>
    <w:rsid w:val="00045A93"/>
    <w:rsid w:val="00047317"/>
    <w:rsid w:val="00050595"/>
    <w:rsid w:val="000520D0"/>
    <w:rsid w:val="00053F26"/>
    <w:rsid w:val="00055100"/>
    <w:rsid w:val="00055376"/>
    <w:rsid w:val="00056187"/>
    <w:rsid w:val="000606A7"/>
    <w:rsid w:val="000609D2"/>
    <w:rsid w:val="00061BEF"/>
    <w:rsid w:val="0006311A"/>
    <w:rsid w:val="0006410A"/>
    <w:rsid w:val="00064AA2"/>
    <w:rsid w:val="00066AB6"/>
    <w:rsid w:val="00066DAA"/>
    <w:rsid w:val="00070C64"/>
    <w:rsid w:val="00070FAF"/>
    <w:rsid w:val="000720E1"/>
    <w:rsid w:val="00077881"/>
    <w:rsid w:val="00080371"/>
    <w:rsid w:val="00080CE0"/>
    <w:rsid w:val="000824E3"/>
    <w:rsid w:val="00083A10"/>
    <w:rsid w:val="00084E80"/>
    <w:rsid w:val="00086E55"/>
    <w:rsid w:val="00092181"/>
    <w:rsid w:val="00092850"/>
    <w:rsid w:val="0009380A"/>
    <w:rsid w:val="000979FD"/>
    <w:rsid w:val="000A2A43"/>
    <w:rsid w:val="000A3ED0"/>
    <w:rsid w:val="000A593A"/>
    <w:rsid w:val="000A6E8B"/>
    <w:rsid w:val="000A7220"/>
    <w:rsid w:val="000B7386"/>
    <w:rsid w:val="000C076B"/>
    <w:rsid w:val="000C24E0"/>
    <w:rsid w:val="000C53B1"/>
    <w:rsid w:val="000C54DE"/>
    <w:rsid w:val="000C5B19"/>
    <w:rsid w:val="000C7E2A"/>
    <w:rsid w:val="000D22C9"/>
    <w:rsid w:val="000D2E31"/>
    <w:rsid w:val="000D3680"/>
    <w:rsid w:val="000E0763"/>
    <w:rsid w:val="000E0E5F"/>
    <w:rsid w:val="000E2190"/>
    <w:rsid w:val="000E29AE"/>
    <w:rsid w:val="000E2AF5"/>
    <w:rsid w:val="000E6DA5"/>
    <w:rsid w:val="000E7127"/>
    <w:rsid w:val="000E73D0"/>
    <w:rsid w:val="000F21C4"/>
    <w:rsid w:val="000F2F9B"/>
    <w:rsid w:val="000F441F"/>
    <w:rsid w:val="000F592B"/>
    <w:rsid w:val="00100545"/>
    <w:rsid w:val="0010106E"/>
    <w:rsid w:val="00102353"/>
    <w:rsid w:val="0010298F"/>
    <w:rsid w:val="001036FE"/>
    <w:rsid w:val="001047C8"/>
    <w:rsid w:val="00104E81"/>
    <w:rsid w:val="001056A8"/>
    <w:rsid w:val="0010624F"/>
    <w:rsid w:val="00107551"/>
    <w:rsid w:val="00107CB5"/>
    <w:rsid w:val="00113917"/>
    <w:rsid w:val="00115F62"/>
    <w:rsid w:val="001167E1"/>
    <w:rsid w:val="001220F3"/>
    <w:rsid w:val="00122978"/>
    <w:rsid w:val="00123190"/>
    <w:rsid w:val="00125235"/>
    <w:rsid w:val="00125621"/>
    <w:rsid w:val="001278B7"/>
    <w:rsid w:val="001279E2"/>
    <w:rsid w:val="0013284B"/>
    <w:rsid w:val="001328DF"/>
    <w:rsid w:val="001373D7"/>
    <w:rsid w:val="001378EF"/>
    <w:rsid w:val="001411EC"/>
    <w:rsid w:val="001423EC"/>
    <w:rsid w:val="00143DD1"/>
    <w:rsid w:val="00144C12"/>
    <w:rsid w:val="00144ECC"/>
    <w:rsid w:val="00145453"/>
    <w:rsid w:val="0014654E"/>
    <w:rsid w:val="00146D52"/>
    <w:rsid w:val="00152CEE"/>
    <w:rsid w:val="001539B8"/>
    <w:rsid w:val="00154116"/>
    <w:rsid w:val="00156118"/>
    <w:rsid w:val="001564B5"/>
    <w:rsid w:val="001573BD"/>
    <w:rsid w:val="001629AF"/>
    <w:rsid w:val="00162D83"/>
    <w:rsid w:val="001658D9"/>
    <w:rsid w:val="00165964"/>
    <w:rsid w:val="0016636E"/>
    <w:rsid w:val="00167A7C"/>
    <w:rsid w:val="00173327"/>
    <w:rsid w:val="0017389A"/>
    <w:rsid w:val="001738C2"/>
    <w:rsid w:val="00174315"/>
    <w:rsid w:val="00174B9E"/>
    <w:rsid w:val="00182530"/>
    <w:rsid w:val="00182A97"/>
    <w:rsid w:val="00183052"/>
    <w:rsid w:val="00183873"/>
    <w:rsid w:val="001844FB"/>
    <w:rsid w:val="00185B4B"/>
    <w:rsid w:val="001869D7"/>
    <w:rsid w:val="00190B2B"/>
    <w:rsid w:val="00191B0B"/>
    <w:rsid w:val="001929CE"/>
    <w:rsid w:val="00193817"/>
    <w:rsid w:val="00193E05"/>
    <w:rsid w:val="001945D8"/>
    <w:rsid w:val="00195B2A"/>
    <w:rsid w:val="00195EB7"/>
    <w:rsid w:val="00196834"/>
    <w:rsid w:val="00197422"/>
    <w:rsid w:val="001A09EA"/>
    <w:rsid w:val="001A0B98"/>
    <w:rsid w:val="001A5B2C"/>
    <w:rsid w:val="001B090F"/>
    <w:rsid w:val="001B3685"/>
    <w:rsid w:val="001B449C"/>
    <w:rsid w:val="001B4A4E"/>
    <w:rsid w:val="001C197D"/>
    <w:rsid w:val="001C3161"/>
    <w:rsid w:val="001C6A77"/>
    <w:rsid w:val="001C6C03"/>
    <w:rsid w:val="001D09F0"/>
    <w:rsid w:val="001D12D5"/>
    <w:rsid w:val="001D3074"/>
    <w:rsid w:val="001D379A"/>
    <w:rsid w:val="001D5D09"/>
    <w:rsid w:val="001D6C82"/>
    <w:rsid w:val="001E3FE4"/>
    <w:rsid w:val="001E51DD"/>
    <w:rsid w:val="001E6D9A"/>
    <w:rsid w:val="001E6F36"/>
    <w:rsid w:val="001E7F10"/>
    <w:rsid w:val="001F1922"/>
    <w:rsid w:val="001F2809"/>
    <w:rsid w:val="001F2945"/>
    <w:rsid w:val="001F4886"/>
    <w:rsid w:val="001F52E2"/>
    <w:rsid w:val="001F5B8C"/>
    <w:rsid w:val="001F7939"/>
    <w:rsid w:val="0020217E"/>
    <w:rsid w:val="00205375"/>
    <w:rsid w:val="00206411"/>
    <w:rsid w:val="00206918"/>
    <w:rsid w:val="00211DA4"/>
    <w:rsid w:val="00215750"/>
    <w:rsid w:val="0022252E"/>
    <w:rsid w:val="002232B7"/>
    <w:rsid w:val="00223F31"/>
    <w:rsid w:val="002245EE"/>
    <w:rsid w:val="00224711"/>
    <w:rsid w:val="00224885"/>
    <w:rsid w:val="00224CDB"/>
    <w:rsid w:val="00226DC8"/>
    <w:rsid w:val="00233228"/>
    <w:rsid w:val="00234AD2"/>
    <w:rsid w:val="002364EA"/>
    <w:rsid w:val="00236C18"/>
    <w:rsid w:val="002371A5"/>
    <w:rsid w:val="0023790C"/>
    <w:rsid w:val="00242605"/>
    <w:rsid w:val="0024331A"/>
    <w:rsid w:val="002433E7"/>
    <w:rsid w:val="002444C2"/>
    <w:rsid w:val="0024460C"/>
    <w:rsid w:val="00246C4D"/>
    <w:rsid w:val="002473F4"/>
    <w:rsid w:val="00250506"/>
    <w:rsid w:val="00250E48"/>
    <w:rsid w:val="00250F60"/>
    <w:rsid w:val="00251E57"/>
    <w:rsid w:val="002520F2"/>
    <w:rsid w:val="00252187"/>
    <w:rsid w:val="00252C2F"/>
    <w:rsid w:val="00253E3F"/>
    <w:rsid w:val="00255957"/>
    <w:rsid w:val="00257369"/>
    <w:rsid w:val="00257938"/>
    <w:rsid w:val="00260D9E"/>
    <w:rsid w:val="002618BE"/>
    <w:rsid w:val="0026324C"/>
    <w:rsid w:val="00263D02"/>
    <w:rsid w:val="002669C6"/>
    <w:rsid w:val="00267539"/>
    <w:rsid w:val="002677F5"/>
    <w:rsid w:val="00274399"/>
    <w:rsid w:val="002752CC"/>
    <w:rsid w:val="00277660"/>
    <w:rsid w:val="00283089"/>
    <w:rsid w:val="0028359A"/>
    <w:rsid w:val="00284F15"/>
    <w:rsid w:val="00285AA9"/>
    <w:rsid w:val="0028667A"/>
    <w:rsid w:val="00286C78"/>
    <w:rsid w:val="00287134"/>
    <w:rsid w:val="002871AA"/>
    <w:rsid w:val="00287DEF"/>
    <w:rsid w:val="00290AF0"/>
    <w:rsid w:val="00291034"/>
    <w:rsid w:val="00297D40"/>
    <w:rsid w:val="002A13BC"/>
    <w:rsid w:val="002A18DE"/>
    <w:rsid w:val="002A1C9F"/>
    <w:rsid w:val="002A26A1"/>
    <w:rsid w:val="002A3DB7"/>
    <w:rsid w:val="002A55F8"/>
    <w:rsid w:val="002B0D7C"/>
    <w:rsid w:val="002B0D85"/>
    <w:rsid w:val="002B3543"/>
    <w:rsid w:val="002B40A5"/>
    <w:rsid w:val="002B56FE"/>
    <w:rsid w:val="002B5D39"/>
    <w:rsid w:val="002B6446"/>
    <w:rsid w:val="002B69DE"/>
    <w:rsid w:val="002B6BCD"/>
    <w:rsid w:val="002B74CF"/>
    <w:rsid w:val="002C08AF"/>
    <w:rsid w:val="002D271A"/>
    <w:rsid w:val="002D2C75"/>
    <w:rsid w:val="002D3DC5"/>
    <w:rsid w:val="002D5AC1"/>
    <w:rsid w:val="002E2A02"/>
    <w:rsid w:val="002E5BFC"/>
    <w:rsid w:val="002E5F4C"/>
    <w:rsid w:val="002E6338"/>
    <w:rsid w:val="002E75D8"/>
    <w:rsid w:val="002E7C85"/>
    <w:rsid w:val="002F085C"/>
    <w:rsid w:val="002F26A8"/>
    <w:rsid w:val="002F53E7"/>
    <w:rsid w:val="002F70BB"/>
    <w:rsid w:val="002F72FC"/>
    <w:rsid w:val="003002E3"/>
    <w:rsid w:val="0030102E"/>
    <w:rsid w:val="0030207B"/>
    <w:rsid w:val="0030369F"/>
    <w:rsid w:val="003037F0"/>
    <w:rsid w:val="00304E0B"/>
    <w:rsid w:val="00305729"/>
    <w:rsid w:val="00305823"/>
    <w:rsid w:val="00306E7E"/>
    <w:rsid w:val="003078EE"/>
    <w:rsid w:val="00307A9A"/>
    <w:rsid w:val="0031425C"/>
    <w:rsid w:val="0031512D"/>
    <w:rsid w:val="003152CF"/>
    <w:rsid w:val="00316CF7"/>
    <w:rsid w:val="003176DA"/>
    <w:rsid w:val="00320F89"/>
    <w:rsid w:val="00322081"/>
    <w:rsid w:val="0032303A"/>
    <w:rsid w:val="0032330C"/>
    <w:rsid w:val="003244D3"/>
    <w:rsid w:val="00326743"/>
    <w:rsid w:val="003308F2"/>
    <w:rsid w:val="00332827"/>
    <w:rsid w:val="00332CDE"/>
    <w:rsid w:val="00332F2C"/>
    <w:rsid w:val="00333174"/>
    <w:rsid w:val="0033678A"/>
    <w:rsid w:val="003403CC"/>
    <w:rsid w:val="0034250E"/>
    <w:rsid w:val="003426E4"/>
    <w:rsid w:val="00343197"/>
    <w:rsid w:val="0034391A"/>
    <w:rsid w:val="00344AEB"/>
    <w:rsid w:val="003507B3"/>
    <w:rsid w:val="00351013"/>
    <w:rsid w:val="00356909"/>
    <w:rsid w:val="0035769B"/>
    <w:rsid w:val="00357C7C"/>
    <w:rsid w:val="003604C6"/>
    <w:rsid w:val="00361E62"/>
    <w:rsid w:val="00363D29"/>
    <w:rsid w:val="00364908"/>
    <w:rsid w:val="00364CA4"/>
    <w:rsid w:val="00365C8F"/>
    <w:rsid w:val="00366634"/>
    <w:rsid w:val="00366CD0"/>
    <w:rsid w:val="00371E89"/>
    <w:rsid w:val="00377289"/>
    <w:rsid w:val="00380AA6"/>
    <w:rsid w:val="00381495"/>
    <w:rsid w:val="00381791"/>
    <w:rsid w:val="0038231E"/>
    <w:rsid w:val="00386253"/>
    <w:rsid w:val="00387A82"/>
    <w:rsid w:val="00390F60"/>
    <w:rsid w:val="00390FED"/>
    <w:rsid w:val="003936E3"/>
    <w:rsid w:val="00393E0A"/>
    <w:rsid w:val="00395D98"/>
    <w:rsid w:val="00397B5C"/>
    <w:rsid w:val="003A11F6"/>
    <w:rsid w:val="003A238F"/>
    <w:rsid w:val="003A27CA"/>
    <w:rsid w:val="003A2957"/>
    <w:rsid w:val="003A3672"/>
    <w:rsid w:val="003A380D"/>
    <w:rsid w:val="003A4757"/>
    <w:rsid w:val="003B54F7"/>
    <w:rsid w:val="003B5F5D"/>
    <w:rsid w:val="003B5FCB"/>
    <w:rsid w:val="003B6768"/>
    <w:rsid w:val="003C025D"/>
    <w:rsid w:val="003C08C7"/>
    <w:rsid w:val="003C0A11"/>
    <w:rsid w:val="003C0AC0"/>
    <w:rsid w:val="003C192F"/>
    <w:rsid w:val="003C4D1E"/>
    <w:rsid w:val="003C7233"/>
    <w:rsid w:val="003C7365"/>
    <w:rsid w:val="003C7CDC"/>
    <w:rsid w:val="003D4589"/>
    <w:rsid w:val="003D4F25"/>
    <w:rsid w:val="003D5326"/>
    <w:rsid w:val="003D6A50"/>
    <w:rsid w:val="003E0DE1"/>
    <w:rsid w:val="003E16A6"/>
    <w:rsid w:val="003E1A30"/>
    <w:rsid w:val="003E25AA"/>
    <w:rsid w:val="003E414B"/>
    <w:rsid w:val="003E5A3A"/>
    <w:rsid w:val="003E5CEA"/>
    <w:rsid w:val="003E65DC"/>
    <w:rsid w:val="003F3C25"/>
    <w:rsid w:val="003F6E43"/>
    <w:rsid w:val="0040270E"/>
    <w:rsid w:val="004032D7"/>
    <w:rsid w:val="00407766"/>
    <w:rsid w:val="00407D6B"/>
    <w:rsid w:val="00407DAE"/>
    <w:rsid w:val="00407EFD"/>
    <w:rsid w:val="00411777"/>
    <w:rsid w:val="0041232F"/>
    <w:rsid w:val="004130BC"/>
    <w:rsid w:val="00417AD6"/>
    <w:rsid w:val="0042133E"/>
    <w:rsid w:val="004258D0"/>
    <w:rsid w:val="004271AB"/>
    <w:rsid w:val="0043214D"/>
    <w:rsid w:val="00434446"/>
    <w:rsid w:val="0043705C"/>
    <w:rsid w:val="00440212"/>
    <w:rsid w:val="00440E44"/>
    <w:rsid w:val="00441AA9"/>
    <w:rsid w:val="00441EBE"/>
    <w:rsid w:val="00443088"/>
    <w:rsid w:val="00446B60"/>
    <w:rsid w:val="0044770D"/>
    <w:rsid w:val="00447907"/>
    <w:rsid w:val="00447E9F"/>
    <w:rsid w:val="0045290A"/>
    <w:rsid w:val="0045686D"/>
    <w:rsid w:val="00457391"/>
    <w:rsid w:val="00457BA3"/>
    <w:rsid w:val="00461342"/>
    <w:rsid w:val="00462E12"/>
    <w:rsid w:val="004637CA"/>
    <w:rsid w:val="00470DA6"/>
    <w:rsid w:val="00474B8F"/>
    <w:rsid w:val="00477A84"/>
    <w:rsid w:val="004826D6"/>
    <w:rsid w:val="00486409"/>
    <w:rsid w:val="00486667"/>
    <w:rsid w:val="00486786"/>
    <w:rsid w:val="0048789A"/>
    <w:rsid w:val="00487EE6"/>
    <w:rsid w:val="004907AE"/>
    <w:rsid w:val="00492D5D"/>
    <w:rsid w:val="004A0697"/>
    <w:rsid w:val="004A0AB9"/>
    <w:rsid w:val="004A2FE3"/>
    <w:rsid w:val="004B0022"/>
    <w:rsid w:val="004B37B0"/>
    <w:rsid w:val="004B37CA"/>
    <w:rsid w:val="004B3921"/>
    <w:rsid w:val="004B5A85"/>
    <w:rsid w:val="004B5B0B"/>
    <w:rsid w:val="004B5DA3"/>
    <w:rsid w:val="004B6F35"/>
    <w:rsid w:val="004C309E"/>
    <w:rsid w:val="004C4122"/>
    <w:rsid w:val="004C5A73"/>
    <w:rsid w:val="004C614F"/>
    <w:rsid w:val="004D1387"/>
    <w:rsid w:val="004D2B2A"/>
    <w:rsid w:val="004D2BC8"/>
    <w:rsid w:val="004D305F"/>
    <w:rsid w:val="004D36C4"/>
    <w:rsid w:val="004D401F"/>
    <w:rsid w:val="004D6965"/>
    <w:rsid w:val="004E08B8"/>
    <w:rsid w:val="004E1196"/>
    <w:rsid w:val="004E4528"/>
    <w:rsid w:val="004E4C24"/>
    <w:rsid w:val="004E6528"/>
    <w:rsid w:val="004E68F1"/>
    <w:rsid w:val="004E7867"/>
    <w:rsid w:val="004F6203"/>
    <w:rsid w:val="005002D3"/>
    <w:rsid w:val="005003A3"/>
    <w:rsid w:val="005015C6"/>
    <w:rsid w:val="00501613"/>
    <w:rsid w:val="005023AB"/>
    <w:rsid w:val="00503588"/>
    <w:rsid w:val="00504D66"/>
    <w:rsid w:val="005054F7"/>
    <w:rsid w:val="00506172"/>
    <w:rsid w:val="00506738"/>
    <w:rsid w:val="00507E6F"/>
    <w:rsid w:val="00510D0C"/>
    <w:rsid w:val="00512620"/>
    <w:rsid w:val="00513970"/>
    <w:rsid w:val="005139FA"/>
    <w:rsid w:val="00513A73"/>
    <w:rsid w:val="00514635"/>
    <w:rsid w:val="005163FC"/>
    <w:rsid w:val="005176E6"/>
    <w:rsid w:val="00517B6F"/>
    <w:rsid w:val="00517CEE"/>
    <w:rsid w:val="00517EC7"/>
    <w:rsid w:val="00521523"/>
    <w:rsid w:val="0052264E"/>
    <w:rsid w:val="005226AA"/>
    <w:rsid w:val="00522E12"/>
    <w:rsid w:val="0052441F"/>
    <w:rsid w:val="0052455D"/>
    <w:rsid w:val="00524C6A"/>
    <w:rsid w:val="00525F8A"/>
    <w:rsid w:val="00526A5A"/>
    <w:rsid w:val="00526B1C"/>
    <w:rsid w:val="00530383"/>
    <w:rsid w:val="00530695"/>
    <w:rsid w:val="005362FE"/>
    <w:rsid w:val="00536915"/>
    <w:rsid w:val="00541206"/>
    <w:rsid w:val="005424C9"/>
    <w:rsid w:val="00543848"/>
    <w:rsid w:val="00546372"/>
    <w:rsid w:val="005504A7"/>
    <w:rsid w:val="005533CF"/>
    <w:rsid w:val="00554177"/>
    <w:rsid w:val="00556E90"/>
    <w:rsid w:val="0055730A"/>
    <w:rsid w:val="005602A8"/>
    <w:rsid w:val="0056576D"/>
    <w:rsid w:val="0057077F"/>
    <w:rsid w:val="00571634"/>
    <w:rsid w:val="00571C99"/>
    <w:rsid w:val="00573F06"/>
    <w:rsid w:val="005747F4"/>
    <w:rsid w:val="005824C9"/>
    <w:rsid w:val="005826E8"/>
    <w:rsid w:val="00582899"/>
    <w:rsid w:val="00584428"/>
    <w:rsid w:val="005873F1"/>
    <w:rsid w:val="00587646"/>
    <w:rsid w:val="00587F8D"/>
    <w:rsid w:val="00590669"/>
    <w:rsid w:val="00591040"/>
    <w:rsid w:val="005931CB"/>
    <w:rsid w:val="0059470D"/>
    <w:rsid w:val="005948ED"/>
    <w:rsid w:val="00595A37"/>
    <w:rsid w:val="005970D5"/>
    <w:rsid w:val="00597CFB"/>
    <w:rsid w:val="005A057E"/>
    <w:rsid w:val="005A0AD7"/>
    <w:rsid w:val="005A0E6D"/>
    <w:rsid w:val="005A4A3F"/>
    <w:rsid w:val="005A6C06"/>
    <w:rsid w:val="005B0445"/>
    <w:rsid w:val="005B2A89"/>
    <w:rsid w:val="005B3306"/>
    <w:rsid w:val="005B366B"/>
    <w:rsid w:val="005B3792"/>
    <w:rsid w:val="005B3ED6"/>
    <w:rsid w:val="005B432A"/>
    <w:rsid w:val="005B4E95"/>
    <w:rsid w:val="005B7C8E"/>
    <w:rsid w:val="005C0A33"/>
    <w:rsid w:val="005C2311"/>
    <w:rsid w:val="005C325C"/>
    <w:rsid w:val="005C348D"/>
    <w:rsid w:val="005C402B"/>
    <w:rsid w:val="005C5D24"/>
    <w:rsid w:val="005D13EC"/>
    <w:rsid w:val="005D2B6C"/>
    <w:rsid w:val="005D3E7D"/>
    <w:rsid w:val="005D464E"/>
    <w:rsid w:val="005D468D"/>
    <w:rsid w:val="005D571B"/>
    <w:rsid w:val="005E0040"/>
    <w:rsid w:val="005E41D0"/>
    <w:rsid w:val="005E46F0"/>
    <w:rsid w:val="005E49F6"/>
    <w:rsid w:val="005E53BA"/>
    <w:rsid w:val="005E5F92"/>
    <w:rsid w:val="005F21BB"/>
    <w:rsid w:val="005F2399"/>
    <w:rsid w:val="005F2A06"/>
    <w:rsid w:val="005F2ACB"/>
    <w:rsid w:val="005F344A"/>
    <w:rsid w:val="005F463B"/>
    <w:rsid w:val="005F5EDA"/>
    <w:rsid w:val="0060341C"/>
    <w:rsid w:val="006041CA"/>
    <w:rsid w:val="006071F7"/>
    <w:rsid w:val="006111D5"/>
    <w:rsid w:val="006129C9"/>
    <w:rsid w:val="00614174"/>
    <w:rsid w:val="00616A05"/>
    <w:rsid w:val="00620AE0"/>
    <w:rsid w:val="00622E69"/>
    <w:rsid w:val="0062602E"/>
    <w:rsid w:val="00626037"/>
    <w:rsid w:val="0062638C"/>
    <w:rsid w:val="006272FB"/>
    <w:rsid w:val="00627B12"/>
    <w:rsid w:val="006313A1"/>
    <w:rsid w:val="00631E6C"/>
    <w:rsid w:val="00631F40"/>
    <w:rsid w:val="006347CB"/>
    <w:rsid w:val="00635E05"/>
    <w:rsid w:val="00636EF8"/>
    <w:rsid w:val="00637FB0"/>
    <w:rsid w:val="006407B6"/>
    <w:rsid w:val="00642600"/>
    <w:rsid w:val="00646509"/>
    <w:rsid w:val="00646C71"/>
    <w:rsid w:val="00650B63"/>
    <w:rsid w:val="00653FD3"/>
    <w:rsid w:val="00654845"/>
    <w:rsid w:val="00660890"/>
    <w:rsid w:val="006608F9"/>
    <w:rsid w:val="0066309E"/>
    <w:rsid w:val="006632BF"/>
    <w:rsid w:val="00663684"/>
    <w:rsid w:val="00665571"/>
    <w:rsid w:val="0066562F"/>
    <w:rsid w:val="00665ADC"/>
    <w:rsid w:val="00666EB8"/>
    <w:rsid w:val="00673533"/>
    <w:rsid w:val="00673D0B"/>
    <w:rsid w:val="006751F4"/>
    <w:rsid w:val="00675262"/>
    <w:rsid w:val="00676ADD"/>
    <w:rsid w:val="00681176"/>
    <w:rsid w:val="00681B4C"/>
    <w:rsid w:val="00682931"/>
    <w:rsid w:val="00683559"/>
    <w:rsid w:val="00683647"/>
    <w:rsid w:val="006840D0"/>
    <w:rsid w:val="006852F7"/>
    <w:rsid w:val="006853C6"/>
    <w:rsid w:val="00692D56"/>
    <w:rsid w:val="00694776"/>
    <w:rsid w:val="0069626D"/>
    <w:rsid w:val="00696833"/>
    <w:rsid w:val="006969D1"/>
    <w:rsid w:val="0069712B"/>
    <w:rsid w:val="00697CDF"/>
    <w:rsid w:val="00697D5E"/>
    <w:rsid w:val="006B018A"/>
    <w:rsid w:val="006B07A8"/>
    <w:rsid w:val="006B0995"/>
    <w:rsid w:val="006B0F50"/>
    <w:rsid w:val="006B292F"/>
    <w:rsid w:val="006B2F3D"/>
    <w:rsid w:val="006B37DE"/>
    <w:rsid w:val="006B5064"/>
    <w:rsid w:val="006B7BB5"/>
    <w:rsid w:val="006C2E63"/>
    <w:rsid w:val="006C3BF1"/>
    <w:rsid w:val="006C40D5"/>
    <w:rsid w:val="006C6480"/>
    <w:rsid w:val="006C6EE4"/>
    <w:rsid w:val="006D20E4"/>
    <w:rsid w:val="006D2484"/>
    <w:rsid w:val="006D2695"/>
    <w:rsid w:val="006D3C68"/>
    <w:rsid w:val="006E5581"/>
    <w:rsid w:val="006E7216"/>
    <w:rsid w:val="006E7602"/>
    <w:rsid w:val="006F0AC5"/>
    <w:rsid w:val="006F10E7"/>
    <w:rsid w:val="006F13AF"/>
    <w:rsid w:val="006F24D4"/>
    <w:rsid w:val="006F2F43"/>
    <w:rsid w:val="006F3DD3"/>
    <w:rsid w:val="006F6F56"/>
    <w:rsid w:val="006F7A83"/>
    <w:rsid w:val="006F7EAD"/>
    <w:rsid w:val="007007B6"/>
    <w:rsid w:val="0070366F"/>
    <w:rsid w:val="00705F05"/>
    <w:rsid w:val="00706DF5"/>
    <w:rsid w:val="00707FF9"/>
    <w:rsid w:val="00713752"/>
    <w:rsid w:val="00713F8A"/>
    <w:rsid w:val="00717044"/>
    <w:rsid w:val="00720BFE"/>
    <w:rsid w:val="0072127B"/>
    <w:rsid w:val="0072137B"/>
    <w:rsid w:val="007250CD"/>
    <w:rsid w:val="0073148B"/>
    <w:rsid w:val="00734A2C"/>
    <w:rsid w:val="00735342"/>
    <w:rsid w:val="00735689"/>
    <w:rsid w:val="0073748B"/>
    <w:rsid w:val="007406D2"/>
    <w:rsid w:val="007407FE"/>
    <w:rsid w:val="00740929"/>
    <w:rsid w:val="007418EC"/>
    <w:rsid w:val="00742599"/>
    <w:rsid w:val="007427BB"/>
    <w:rsid w:val="007427EF"/>
    <w:rsid w:val="00742FAA"/>
    <w:rsid w:val="00743C90"/>
    <w:rsid w:val="00743CAE"/>
    <w:rsid w:val="007440FD"/>
    <w:rsid w:val="00745933"/>
    <w:rsid w:val="00756CCE"/>
    <w:rsid w:val="0075743B"/>
    <w:rsid w:val="00757EC0"/>
    <w:rsid w:val="0076027C"/>
    <w:rsid w:val="007605C5"/>
    <w:rsid w:val="007615BF"/>
    <w:rsid w:val="007615C5"/>
    <w:rsid w:val="007636A8"/>
    <w:rsid w:val="00763B55"/>
    <w:rsid w:val="00777C99"/>
    <w:rsid w:val="00780150"/>
    <w:rsid w:val="00780511"/>
    <w:rsid w:val="0078265C"/>
    <w:rsid w:val="00783096"/>
    <w:rsid w:val="007863EC"/>
    <w:rsid w:val="00790F85"/>
    <w:rsid w:val="00791EBA"/>
    <w:rsid w:val="007969D8"/>
    <w:rsid w:val="007A3A39"/>
    <w:rsid w:val="007A5AAA"/>
    <w:rsid w:val="007A6750"/>
    <w:rsid w:val="007A6AB1"/>
    <w:rsid w:val="007A6D84"/>
    <w:rsid w:val="007A762F"/>
    <w:rsid w:val="007B2CBF"/>
    <w:rsid w:val="007B6578"/>
    <w:rsid w:val="007B7A04"/>
    <w:rsid w:val="007C298F"/>
    <w:rsid w:val="007C3036"/>
    <w:rsid w:val="007C697A"/>
    <w:rsid w:val="007D36E8"/>
    <w:rsid w:val="007D5E23"/>
    <w:rsid w:val="007D750F"/>
    <w:rsid w:val="007E1A6F"/>
    <w:rsid w:val="007E1F3D"/>
    <w:rsid w:val="007E3EAB"/>
    <w:rsid w:val="007F1B9D"/>
    <w:rsid w:val="007F236C"/>
    <w:rsid w:val="007F241F"/>
    <w:rsid w:val="007F317E"/>
    <w:rsid w:val="007F4E31"/>
    <w:rsid w:val="007F553C"/>
    <w:rsid w:val="007F6025"/>
    <w:rsid w:val="007F79B1"/>
    <w:rsid w:val="007F7F5C"/>
    <w:rsid w:val="008008D3"/>
    <w:rsid w:val="00804105"/>
    <w:rsid w:val="0080582D"/>
    <w:rsid w:val="008063AC"/>
    <w:rsid w:val="00806C2D"/>
    <w:rsid w:val="00810BD8"/>
    <w:rsid w:val="0081338F"/>
    <w:rsid w:val="008162CD"/>
    <w:rsid w:val="00816887"/>
    <w:rsid w:val="00820265"/>
    <w:rsid w:val="00820CE2"/>
    <w:rsid w:val="00820E14"/>
    <w:rsid w:val="00823145"/>
    <w:rsid w:val="00823644"/>
    <w:rsid w:val="00825EC6"/>
    <w:rsid w:val="008277C5"/>
    <w:rsid w:val="00830D64"/>
    <w:rsid w:val="008324B2"/>
    <w:rsid w:val="00833818"/>
    <w:rsid w:val="008364BB"/>
    <w:rsid w:val="00837190"/>
    <w:rsid w:val="00842414"/>
    <w:rsid w:val="008427B3"/>
    <w:rsid w:val="00843231"/>
    <w:rsid w:val="00844283"/>
    <w:rsid w:val="00844C33"/>
    <w:rsid w:val="00846144"/>
    <w:rsid w:val="008511CF"/>
    <w:rsid w:val="00853D98"/>
    <w:rsid w:val="008547A8"/>
    <w:rsid w:val="00854F87"/>
    <w:rsid w:val="00856E61"/>
    <w:rsid w:val="00857949"/>
    <w:rsid w:val="00864D39"/>
    <w:rsid w:val="00865420"/>
    <w:rsid w:val="00865880"/>
    <w:rsid w:val="00866A20"/>
    <w:rsid w:val="0087153E"/>
    <w:rsid w:val="00872766"/>
    <w:rsid w:val="008727B0"/>
    <w:rsid w:val="008737EE"/>
    <w:rsid w:val="00875C41"/>
    <w:rsid w:val="00880F0A"/>
    <w:rsid w:val="008813C4"/>
    <w:rsid w:val="00881582"/>
    <w:rsid w:val="00884D2A"/>
    <w:rsid w:val="00884D91"/>
    <w:rsid w:val="0088668A"/>
    <w:rsid w:val="00892C8B"/>
    <w:rsid w:val="00894D1D"/>
    <w:rsid w:val="0089510C"/>
    <w:rsid w:val="00895C3A"/>
    <w:rsid w:val="00896207"/>
    <w:rsid w:val="0089677A"/>
    <w:rsid w:val="008978A7"/>
    <w:rsid w:val="008A2875"/>
    <w:rsid w:val="008A2B17"/>
    <w:rsid w:val="008A3E18"/>
    <w:rsid w:val="008A5B76"/>
    <w:rsid w:val="008A65C9"/>
    <w:rsid w:val="008A670D"/>
    <w:rsid w:val="008A6DAB"/>
    <w:rsid w:val="008A76B5"/>
    <w:rsid w:val="008A7747"/>
    <w:rsid w:val="008A7865"/>
    <w:rsid w:val="008B2848"/>
    <w:rsid w:val="008B5D43"/>
    <w:rsid w:val="008B7964"/>
    <w:rsid w:val="008C19E6"/>
    <w:rsid w:val="008D05FA"/>
    <w:rsid w:val="008D0BD2"/>
    <w:rsid w:val="008D0E08"/>
    <w:rsid w:val="008D25F9"/>
    <w:rsid w:val="008E2CC6"/>
    <w:rsid w:val="008E5298"/>
    <w:rsid w:val="008E53FE"/>
    <w:rsid w:val="008E5F34"/>
    <w:rsid w:val="008E6A69"/>
    <w:rsid w:val="008F0176"/>
    <w:rsid w:val="008F028A"/>
    <w:rsid w:val="008F2736"/>
    <w:rsid w:val="008F3FB0"/>
    <w:rsid w:val="008F43A7"/>
    <w:rsid w:val="008F6298"/>
    <w:rsid w:val="0090007E"/>
    <w:rsid w:val="00901594"/>
    <w:rsid w:val="00901E9A"/>
    <w:rsid w:val="00902506"/>
    <w:rsid w:val="00903F4A"/>
    <w:rsid w:val="0090442C"/>
    <w:rsid w:val="009050C5"/>
    <w:rsid w:val="0091131A"/>
    <w:rsid w:val="00913282"/>
    <w:rsid w:val="009149F4"/>
    <w:rsid w:val="00915F00"/>
    <w:rsid w:val="00915F11"/>
    <w:rsid w:val="00920660"/>
    <w:rsid w:val="009222EA"/>
    <w:rsid w:val="00922E93"/>
    <w:rsid w:val="009242A1"/>
    <w:rsid w:val="009260D0"/>
    <w:rsid w:val="00926D97"/>
    <w:rsid w:val="009306A0"/>
    <w:rsid w:val="00930A3F"/>
    <w:rsid w:val="00930E87"/>
    <w:rsid w:val="00933130"/>
    <w:rsid w:val="00934AF6"/>
    <w:rsid w:val="00934D76"/>
    <w:rsid w:val="009361B8"/>
    <w:rsid w:val="00936B4C"/>
    <w:rsid w:val="009374F1"/>
    <w:rsid w:val="00937828"/>
    <w:rsid w:val="009378B8"/>
    <w:rsid w:val="00937DEF"/>
    <w:rsid w:val="00940E20"/>
    <w:rsid w:val="009461A9"/>
    <w:rsid w:val="009466E7"/>
    <w:rsid w:val="00946E28"/>
    <w:rsid w:val="00946F33"/>
    <w:rsid w:val="00947280"/>
    <w:rsid w:val="009503E0"/>
    <w:rsid w:val="00951ABA"/>
    <w:rsid w:val="00953B7F"/>
    <w:rsid w:val="00954DCC"/>
    <w:rsid w:val="00955987"/>
    <w:rsid w:val="00957DE1"/>
    <w:rsid w:val="0096007B"/>
    <w:rsid w:val="009608C4"/>
    <w:rsid w:val="00961F47"/>
    <w:rsid w:val="00963890"/>
    <w:rsid w:val="009668CF"/>
    <w:rsid w:val="00967164"/>
    <w:rsid w:val="00967277"/>
    <w:rsid w:val="00971F9A"/>
    <w:rsid w:val="009728FD"/>
    <w:rsid w:val="00972EDE"/>
    <w:rsid w:val="0097449A"/>
    <w:rsid w:val="009768AA"/>
    <w:rsid w:val="00977FB2"/>
    <w:rsid w:val="00982F7D"/>
    <w:rsid w:val="00984133"/>
    <w:rsid w:val="00987705"/>
    <w:rsid w:val="009906BC"/>
    <w:rsid w:val="009918CD"/>
    <w:rsid w:val="00992414"/>
    <w:rsid w:val="0099253D"/>
    <w:rsid w:val="009928F7"/>
    <w:rsid w:val="00992D8A"/>
    <w:rsid w:val="009936FD"/>
    <w:rsid w:val="0099437E"/>
    <w:rsid w:val="00996172"/>
    <w:rsid w:val="00996F53"/>
    <w:rsid w:val="009A1AEE"/>
    <w:rsid w:val="009A7D4C"/>
    <w:rsid w:val="009B1876"/>
    <w:rsid w:val="009B2D5E"/>
    <w:rsid w:val="009B4411"/>
    <w:rsid w:val="009B52FE"/>
    <w:rsid w:val="009B59B1"/>
    <w:rsid w:val="009B5ED2"/>
    <w:rsid w:val="009B6E54"/>
    <w:rsid w:val="009B7F26"/>
    <w:rsid w:val="009C079F"/>
    <w:rsid w:val="009C188D"/>
    <w:rsid w:val="009C28E8"/>
    <w:rsid w:val="009C4CE8"/>
    <w:rsid w:val="009C53E3"/>
    <w:rsid w:val="009C7C7D"/>
    <w:rsid w:val="009C7CD3"/>
    <w:rsid w:val="009D5502"/>
    <w:rsid w:val="009D575B"/>
    <w:rsid w:val="009D73D7"/>
    <w:rsid w:val="009E0BEC"/>
    <w:rsid w:val="009E173F"/>
    <w:rsid w:val="009E43DC"/>
    <w:rsid w:val="009F0268"/>
    <w:rsid w:val="009F0A7C"/>
    <w:rsid w:val="009F1A4E"/>
    <w:rsid w:val="009F1E27"/>
    <w:rsid w:val="009F2E98"/>
    <w:rsid w:val="009F4654"/>
    <w:rsid w:val="009F51C9"/>
    <w:rsid w:val="009F527B"/>
    <w:rsid w:val="00A03DCC"/>
    <w:rsid w:val="00A041B6"/>
    <w:rsid w:val="00A04963"/>
    <w:rsid w:val="00A057FD"/>
    <w:rsid w:val="00A06E1E"/>
    <w:rsid w:val="00A1072B"/>
    <w:rsid w:val="00A125C3"/>
    <w:rsid w:val="00A12C9E"/>
    <w:rsid w:val="00A16BD5"/>
    <w:rsid w:val="00A17A56"/>
    <w:rsid w:val="00A20AB7"/>
    <w:rsid w:val="00A20B96"/>
    <w:rsid w:val="00A239E7"/>
    <w:rsid w:val="00A24189"/>
    <w:rsid w:val="00A26458"/>
    <w:rsid w:val="00A31DC1"/>
    <w:rsid w:val="00A3354C"/>
    <w:rsid w:val="00A3363E"/>
    <w:rsid w:val="00A35A34"/>
    <w:rsid w:val="00A37FCB"/>
    <w:rsid w:val="00A504CA"/>
    <w:rsid w:val="00A506FF"/>
    <w:rsid w:val="00A51B4F"/>
    <w:rsid w:val="00A525E5"/>
    <w:rsid w:val="00A54EE9"/>
    <w:rsid w:val="00A55885"/>
    <w:rsid w:val="00A57A15"/>
    <w:rsid w:val="00A600C9"/>
    <w:rsid w:val="00A61A5D"/>
    <w:rsid w:val="00A61F6F"/>
    <w:rsid w:val="00A63315"/>
    <w:rsid w:val="00A636C5"/>
    <w:rsid w:val="00A6448E"/>
    <w:rsid w:val="00A66178"/>
    <w:rsid w:val="00A67101"/>
    <w:rsid w:val="00A7366B"/>
    <w:rsid w:val="00A74411"/>
    <w:rsid w:val="00A7642F"/>
    <w:rsid w:val="00A77F91"/>
    <w:rsid w:val="00A81530"/>
    <w:rsid w:val="00A817A8"/>
    <w:rsid w:val="00A834B4"/>
    <w:rsid w:val="00A84347"/>
    <w:rsid w:val="00A86A70"/>
    <w:rsid w:val="00A87849"/>
    <w:rsid w:val="00A87851"/>
    <w:rsid w:val="00A8790E"/>
    <w:rsid w:val="00A91370"/>
    <w:rsid w:val="00A92D4E"/>
    <w:rsid w:val="00A931FA"/>
    <w:rsid w:val="00A93F7E"/>
    <w:rsid w:val="00A94871"/>
    <w:rsid w:val="00A949BE"/>
    <w:rsid w:val="00A94CB1"/>
    <w:rsid w:val="00A95C39"/>
    <w:rsid w:val="00A96E1B"/>
    <w:rsid w:val="00A97A67"/>
    <w:rsid w:val="00AA0457"/>
    <w:rsid w:val="00AA0ADF"/>
    <w:rsid w:val="00AA55FB"/>
    <w:rsid w:val="00AA5E2B"/>
    <w:rsid w:val="00AB15B4"/>
    <w:rsid w:val="00AB222B"/>
    <w:rsid w:val="00AB2A8F"/>
    <w:rsid w:val="00AB3230"/>
    <w:rsid w:val="00AB48AC"/>
    <w:rsid w:val="00AB77E6"/>
    <w:rsid w:val="00AC108A"/>
    <w:rsid w:val="00AC1975"/>
    <w:rsid w:val="00AC1F01"/>
    <w:rsid w:val="00AC46F2"/>
    <w:rsid w:val="00AD19D8"/>
    <w:rsid w:val="00AD3353"/>
    <w:rsid w:val="00AD3A13"/>
    <w:rsid w:val="00AD5163"/>
    <w:rsid w:val="00AD6FB2"/>
    <w:rsid w:val="00AD71A4"/>
    <w:rsid w:val="00AE3192"/>
    <w:rsid w:val="00AE3A4E"/>
    <w:rsid w:val="00AE495B"/>
    <w:rsid w:val="00AE58CE"/>
    <w:rsid w:val="00AE6FAF"/>
    <w:rsid w:val="00AE7C48"/>
    <w:rsid w:val="00AF370D"/>
    <w:rsid w:val="00AF3D74"/>
    <w:rsid w:val="00AF4B28"/>
    <w:rsid w:val="00AF5DE4"/>
    <w:rsid w:val="00AF6D15"/>
    <w:rsid w:val="00AF725C"/>
    <w:rsid w:val="00B01F54"/>
    <w:rsid w:val="00B04711"/>
    <w:rsid w:val="00B04EE3"/>
    <w:rsid w:val="00B058D3"/>
    <w:rsid w:val="00B058DA"/>
    <w:rsid w:val="00B07ADF"/>
    <w:rsid w:val="00B1233D"/>
    <w:rsid w:val="00B14254"/>
    <w:rsid w:val="00B15306"/>
    <w:rsid w:val="00B15453"/>
    <w:rsid w:val="00B15857"/>
    <w:rsid w:val="00B15A30"/>
    <w:rsid w:val="00B16AF5"/>
    <w:rsid w:val="00B20E19"/>
    <w:rsid w:val="00B21F1E"/>
    <w:rsid w:val="00B250E5"/>
    <w:rsid w:val="00B32B0A"/>
    <w:rsid w:val="00B32E17"/>
    <w:rsid w:val="00B34D57"/>
    <w:rsid w:val="00B36547"/>
    <w:rsid w:val="00B407ED"/>
    <w:rsid w:val="00B421CC"/>
    <w:rsid w:val="00B42419"/>
    <w:rsid w:val="00B456E0"/>
    <w:rsid w:val="00B47249"/>
    <w:rsid w:val="00B5018A"/>
    <w:rsid w:val="00B50C1F"/>
    <w:rsid w:val="00B51760"/>
    <w:rsid w:val="00B533B1"/>
    <w:rsid w:val="00B548E0"/>
    <w:rsid w:val="00B54AFE"/>
    <w:rsid w:val="00B568CF"/>
    <w:rsid w:val="00B56BD7"/>
    <w:rsid w:val="00B61887"/>
    <w:rsid w:val="00B62E5A"/>
    <w:rsid w:val="00B6359B"/>
    <w:rsid w:val="00B63E53"/>
    <w:rsid w:val="00B6555B"/>
    <w:rsid w:val="00B65965"/>
    <w:rsid w:val="00B65A1E"/>
    <w:rsid w:val="00B65F30"/>
    <w:rsid w:val="00B670E7"/>
    <w:rsid w:val="00B715B7"/>
    <w:rsid w:val="00B749E0"/>
    <w:rsid w:val="00B75182"/>
    <w:rsid w:val="00B76D16"/>
    <w:rsid w:val="00B76E70"/>
    <w:rsid w:val="00B8028A"/>
    <w:rsid w:val="00B808B2"/>
    <w:rsid w:val="00B81C66"/>
    <w:rsid w:val="00B83446"/>
    <w:rsid w:val="00B844DA"/>
    <w:rsid w:val="00B85DD4"/>
    <w:rsid w:val="00B85E30"/>
    <w:rsid w:val="00B8622B"/>
    <w:rsid w:val="00B90F01"/>
    <w:rsid w:val="00B913C8"/>
    <w:rsid w:val="00B9277C"/>
    <w:rsid w:val="00B92DEB"/>
    <w:rsid w:val="00B93C5A"/>
    <w:rsid w:val="00B93D6B"/>
    <w:rsid w:val="00B943BB"/>
    <w:rsid w:val="00BA016A"/>
    <w:rsid w:val="00BA0C61"/>
    <w:rsid w:val="00BA2AA1"/>
    <w:rsid w:val="00BA52C6"/>
    <w:rsid w:val="00BA5504"/>
    <w:rsid w:val="00BA57CC"/>
    <w:rsid w:val="00BA647B"/>
    <w:rsid w:val="00BB017D"/>
    <w:rsid w:val="00BB4199"/>
    <w:rsid w:val="00BB5207"/>
    <w:rsid w:val="00BB6831"/>
    <w:rsid w:val="00BB6E6D"/>
    <w:rsid w:val="00BB7121"/>
    <w:rsid w:val="00BB764E"/>
    <w:rsid w:val="00BC0EA2"/>
    <w:rsid w:val="00BC16F7"/>
    <w:rsid w:val="00BC1E24"/>
    <w:rsid w:val="00BC5397"/>
    <w:rsid w:val="00BC7B14"/>
    <w:rsid w:val="00BD1BD0"/>
    <w:rsid w:val="00BD29C6"/>
    <w:rsid w:val="00BD6DFA"/>
    <w:rsid w:val="00BE4EE0"/>
    <w:rsid w:val="00BE4F60"/>
    <w:rsid w:val="00BE525D"/>
    <w:rsid w:val="00BF034A"/>
    <w:rsid w:val="00BF3516"/>
    <w:rsid w:val="00BF3A0A"/>
    <w:rsid w:val="00BF4FDF"/>
    <w:rsid w:val="00BF55C2"/>
    <w:rsid w:val="00BF5D45"/>
    <w:rsid w:val="00BF64D6"/>
    <w:rsid w:val="00C00577"/>
    <w:rsid w:val="00C020EC"/>
    <w:rsid w:val="00C0229C"/>
    <w:rsid w:val="00C0417B"/>
    <w:rsid w:val="00C04876"/>
    <w:rsid w:val="00C04E5B"/>
    <w:rsid w:val="00C052C8"/>
    <w:rsid w:val="00C05937"/>
    <w:rsid w:val="00C05BD1"/>
    <w:rsid w:val="00C115CD"/>
    <w:rsid w:val="00C11B1F"/>
    <w:rsid w:val="00C138E2"/>
    <w:rsid w:val="00C13B18"/>
    <w:rsid w:val="00C15477"/>
    <w:rsid w:val="00C16B7A"/>
    <w:rsid w:val="00C17798"/>
    <w:rsid w:val="00C20609"/>
    <w:rsid w:val="00C2115B"/>
    <w:rsid w:val="00C21F28"/>
    <w:rsid w:val="00C270B7"/>
    <w:rsid w:val="00C27C31"/>
    <w:rsid w:val="00C3385B"/>
    <w:rsid w:val="00C345AC"/>
    <w:rsid w:val="00C34C74"/>
    <w:rsid w:val="00C42618"/>
    <w:rsid w:val="00C42916"/>
    <w:rsid w:val="00C43176"/>
    <w:rsid w:val="00C45954"/>
    <w:rsid w:val="00C46B85"/>
    <w:rsid w:val="00C473B9"/>
    <w:rsid w:val="00C51DDB"/>
    <w:rsid w:val="00C5292D"/>
    <w:rsid w:val="00C52E4E"/>
    <w:rsid w:val="00C549F0"/>
    <w:rsid w:val="00C54DDF"/>
    <w:rsid w:val="00C57883"/>
    <w:rsid w:val="00C57F75"/>
    <w:rsid w:val="00C61788"/>
    <w:rsid w:val="00C62B06"/>
    <w:rsid w:val="00C63DDE"/>
    <w:rsid w:val="00C66A43"/>
    <w:rsid w:val="00C66BFB"/>
    <w:rsid w:val="00C71300"/>
    <w:rsid w:val="00C725FA"/>
    <w:rsid w:val="00C75DAC"/>
    <w:rsid w:val="00C7725F"/>
    <w:rsid w:val="00C777E5"/>
    <w:rsid w:val="00C800DE"/>
    <w:rsid w:val="00C80F86"/>
    <w:rsid w:val="00C82CA0"/>
    <w:rsid w:val="00C83A2F"/>
    <w:rsid w:val="00C85809"/>
    <w:rsid w:val="00C86627"/>
    <w:rsid w:val="00C86D89"/>
    <w:rsid w:val="00C86E76"/>
    <w:rsid w:val="00C87548"/>
    <w:rsid w:val="00C901B9"/>
    <w:rsid w:val="00C90F5E"/>
    <w:rsid w:val="00C92BA5"/>
    <w:rsid w:val="00C938DA"/>
    <w:rsid w:val="00C95D6C"/>
    <w:rsid w:val="00CA0DC8"/>
    <w:rsid w:val="00CA19CC"/>
    <w:rsid w:val="00CA2B09"/>
    <w:rsid w:val="00CA3D95"/>
    <w:rsid w:val="00CA779D"/>
    <w:rsid w:val="00CB1538"/>
    <w:rsid w:val="00CB2613"/>
    <w:rsid w:val="00CB2B69"/>
    <w:rsid w:val="00CB3707"/>
    <w:rsid w:val="00CB5338"/>
    <w:rsid w:val="00CB7E28"/>
    <w:rsid w:val="00CC12BB"/>
    <w:rsid w:val="00CC407D"/>
    <w:rsid w:val="00CC64BC"/>
    <w:rsid w:val="00CC7119"/>
    <w:rsid w:val="00CD2B42"/>
    <w:rsid w:val="00CD36B3"/>
    <w:rsid w:val="00CD4312"/>
    <w:rsid w:val="00CD5A08"/>
    <w:rsid w:val="00CE49EB"/>
    <w:rsid w:val="00CE5CF2"/>
    <w:rsid w:val="00CE62B1"/>
    <w:rsid w:val="00CE765B"/>
    <w:rsid w:val="00CF0577"/>
    <w:rsid w:val="00CF1BC0"/>
    <w:rsid w:val="00CF203E"/>
    <w:rsid w:val="00CF24E4"/>
    <w:rsid w:val="00CF2EEE"/>
    <w:rsid w:val="00CF450A"/>
    <w:rsid w:val="00CF56D6"/>
    <w:rsid w:val="00CF59B5"/>
    <w:rsid w:val="00D00977"/>
    <w:rsid w:val="00D05A59"/>
    <w:rsid w:val="00D05B7E"/>
    <w:rsid w:val="00D06B38"/>
    <w:rsid w:val="00D074AB"/>
    <w:rsid w:val="00D0769A"/>
    <w:rsid w:val="00D076FC"/>
    <w:rsid w:val="00D101FB"/>
    <w:rsid w:val="00D10CB2"/>
    <w:rsid w:val="00D12178"/>
    <w:rsid w:val="00D12F5D"/>
    <w:rsid w:val="00D15AC2"/>
    <w:rsid w:val="00D1706E"/>
    <w:rsid w:val="00D17921"/>
    <w:rsid w:val="00D20A42"/>
    <w:rsid w:val="00D23F2D"/>
    <w:rsid w:val="00D26E67"/>
    <w:rsid w:val="00D274D3"/>
    <w:rsid w:val="00D27664"/>
    <w:rsid w:val="00D27C37"/>
    <w:rsid w:val="00D330D0"/>
    <w:rsid w:val="00D34457"/>
    <w:rsid w:val="00D34C55"/>
    <w:rsid w:val="00D3585C"/>
    <w:rsid w:val="00D36240"/>
    <w:rsid w:val="00D3774A"/>
    <w:rsid w:val="00D37A2C"/>
    <w:rsid w:val="00D40319"/>
    <w:rsid w:val="00D43F86"/>
    <w:rsid w:val="00D457FF"/>
    <w:rsid w:val="00D45982"/>
    <w:rsid w:val="00D4777B"/>
    <w:rsid w:val="00D478C7"/>
    <w:rsid w:val="00D479F9"/>
    <w:rsid w:val="00D506BC"/>
    <w:rsid w:val="00D50E76"/>
    <w:rsid w:val="00D53751"/>
    <w:rsid w:val="00D54272"/>
    <w:rsid w:val="00D56042"/>
    <w:rsid w:val="00D60819"/>
    <w:rsid w:val="00D60B4A"/>
    <w:rsid w:val="00D618C2"/>
    <w:rsid w:val="00D64D1D"/>
    <w:rsid w:val="00D669AB"/>
    <w:rsid w:val="00D71074"/>
    <w:rsid w:val="00D75996"/>
    <w:rsid w:val="00D800DC"/>
    <w:rsid w:val="00D8148C"/>
    <w:rsid w:val="00D83091"/>
    <w:rsid w:val="00D85390"/>
    <w:rsid w:val="00D85D3F"/>
    <w:rsid w:val="00D90D25"/>
    <w:rsid w:val="00D93664"/>
    <w:rsid w:val="00D953A5"/>
    <w:rsid w:val="00DA1DB2"/>
    <w:rsid w:val="00DA401A"/>
    <w:rsid w:val="00DA48B1"/>
    <w:rsid w:val="00DB04E6"/>
    <w:rsid w:val="00DB1909"/>
    <w:rsid w:val="00DB2418"/>
    <w:rsid w:val="00DB26F5"/>
    <w:rsid w:val="00DB2C68"/>
    <w:rsid w:val="00DB3E0A"/>
    <w:rsid w:val="00DB5BF6"/>
    <w:rsid w:val="00DB6278"/>
    <w:rsid w:val="00DC1977"/>
    <w:rsid w:val="00DC200C"/>
    <w:rsid w:val="00DC3BA1"/>
    <w:rsid w:val="00DC7FA1"/>
    <w:rsid w:val="00DD05F9"/>
    <w:rsid w:val="00DD0B94"/>
    <w:rsid w:val="00DD431D"/>
    <w:rsid w:val="00DD47FE"/>
    <w:rsid w:val="00DD4A19"/>
    <w:rsid w:val="00DD51F6"/>
    <w:rsid w:val="00DD6778"/>
    <w:rsid w:val="00DE03CA"/>
    <w:rsid w:val="00DE07EF"/>
    <w:rsid w:val="00DE17B7"/>
    <w:rsid w:val="00DE4B8A"/>
    <w:rsid w:val="00DE4FCA"/>
    <w:rsid w:val="00DE619A"/>
    <w:rsid w:val="00DE7859"/>
    <w:rsid w:val="00DF03F7"/>
    <w:rsid w:val="00DF0A03"/>
    <w:rsid w:val="00DF1289"/>
    <w:rsid w:val="00DF1B0C"/>
    <w:rsid w:val="00DF4FA9"/>
    <w:rsid w:val="00DF505C"/>
    <w:rsid w:val="00DF5AD3"/>
    <w:rsid w:val="00E04719"/>
    <w:rsid w:val="00E068D2"/>
    <w:rsid w:val="00E07F33"/>
    <w:rsid w:val="00E116C7"/>
    <w:rsid w:val="00E12190"/>
    <w:rsid w:val="00E12AD5"/>
    <w:rsid w:val="00E12F19"/>
    <w:rsid w:val="00E21149"/>
    <w:rsid w:val="00E218C0"/>
    <w:rsid w:val="00E25573"/>
    <w:rsid w:val="00E25F1C"/>
    <w:rsid w:val="00E3030B"/>
    <w:rsid w:val="00E31850"/>
    <w:rsid w:val="00E35238"/>
    <w:rsid w:val="00E364C8"/>
    <w:rsid w:val="00E37460"/>
    <w:rsid w:val="00E42811"/>
    <w:rsid w:val="00E42DB8"/>
    <w:rsid w:val="00E445DD"/>
    <w:rsid w:val="00E45260"/>
    <w:rsid w:val="00E4653C"/>
    <w:rsid w:val="00E472F9"/>
    <w:rsid w:val="00E53F29"/>
    <w:rsid w:val="00E5413E"/>
    <w:rsid w:val="00E55446"/>
    <w:rsid w:val="00E56040"/>
    <w:rsid w:val="00E57C36"/>
    <w:rsid w:val="00E60B5C"/>
    <w:rsid w:val="00E614A1"/>
    <w:rsid w:val="00E61AF8"/>
    <w:rsid w:val="00E6207D"/>
    <w:rsid w:val="00E66761"/>
    <w:rsid w:val="00E66B3A"/>
    <w:rsid w:val="00E67C7B"/>
    <w:rsid w:val="00E704C5"/>
    <w:rsid w:val="00E7053A"/>
    <w:rsid w:val="00E7149E"/>
    <w:rsid w:val="00E74188"/>
    <w:rsid w:val="00E74414"/>
    <w:rsid w:val="00E745CF"/>
    <w:rsid w:val="00E77AFD"/>
    <w:rsid w:val="00E802CE"/>
    <w:rsid w:val="00E8554D"/>
    <w:rsid w:val="00E857D1"/>
    <w:rsid w:val="00E85908"/>
    <w:rsid w:val="00E85A1F"/>
    <w:rsid w:val="00E86260"/>
    <w:rsid w:val="00E86335"/>
    <w:rsid w:val="00E87CB9"/>
    <w:rsid w:val="00E903FA"/>
    <w:rsid w:val="00E92214"/>
    <w:rsid w:val="00E96E47"/>
    <w:rsid w:val="00E97165"/>
    <w:rsid w:val="00E97EC1"/>
    <w:rsid w:val="00EA1353"/>
    <w:rsid w:val="00EA15C8"/>
    <w:rsid w:val="00EA1FAB"/>
    <w:rsid w:val="00EA3372"/>
    <w:rsid w:val="00EA34D2"/>
    <w:rsid w:val="00EA476D"/>
    <w:rsid w:val="00EA6418"/>
    <w:rsid w:val="00EB2D9C"/>
    <w:rsid w:val="00EB4BFC"/>
    <w:rsid w:val="00EB6A34"/>
    <w:rsid w:val="00EB71C9"/>
    <w:rsid w:val="00EC56B7"/>
    <w:rsid w:val="00EC741E"/>
    <w:rsid w:val="00EC7F77"/>
    <w:rsid w:val="00ED2A86"/>
    <w:rsid w:val="00ED7170"/>
    <w:rsid w:val="00EE07B4"/>
    <w:rsid w:val="00EE22D1"/>
    <w:rsid w:val="00EE2848"/>
    <w:rsid w:val="00EE3DE4"/>
    <w:rsid w:val="00EE7FD0"/>
    <w:rsid w:val="00EF0EA4"/>
    <w:rsid w:val="00EF1014"/>
    <w:rsid w:val="00EF474A"/>
    <w:rsid w:val="00EF50A3"/>
    <w:rsid w:val="00EF75A6"/>
    <w:rsid w:val="00EF7AF4"/>
    <w:rsid w:val="00F02FC9"/>
    <w:rsid w:val="00F0373F"/>
    <w:rsid w:val="00F06BB7"/>
    <w:rsid w:val="00F0788A"/>
    <w:rsid w:val="00F07CE0"/>
    <w:rsid w:val="00F1155A"/>
    <w:rsid w:val="00F1372C"/>
    <w:rsid w:val="00F13FDA"/>
    <w:rsid w:val="00F15113"/>
    <w:rsid w:val="00F15805"/>
    <w:rsid w:val="00F17820"/>
    <w:rsid w:val="00F17B4F"/>
    <w:rsid w:val="00F206DB"/>
    <w:rsid w:val="00F23052"/>
    <w:rsid w:val="00F24990"/>
    <w:rsid w:val="00F249BA"/>
    <w:rsid w:val="00F265BE"/>
    <w:rsid w:val="00F26FA9"/>
    <w:rsid w:val="00F27EB9"/>
    <w:rsid w:val="00F304EF"/>
    <w:rsid w:val="00F31619"/>
    <w:rsid w:val="00F35EC0"/>
    <w:rsid w:val="00F400AF"/>
    <w:rsid w:val="00F426AB"/>
    <w:rsid w:val="00F43160"/>
    <w:rsid w:val="00F44107"/>
    <w:rsid w:val="00F458B9"/>
    <w:rsid w:val="00F46809"/>
    <w:rsid w:val="00F46CBB"/>
    <w:rsid w:val="00F521E4"/>
    <w:rsid w:val="00F5408A"/>
    <w:rsid w:val="00F549CC"/>
    <w:rsid w:val="00F54F9D"/>
    <w:rsid w:val="00F56A7B"/>
    <w:rsid w:val="00F56FEE"/>
    <w:rsid w:val="00F57F6F"/>
    <w:rsid w:val="00F6167C"/>
    <w:rsid w:val="00F628CA"/>
    <w:rsid w:val="00F65F78"/>
    <w:rsid w:val="00F67B44"/>
    <w:rsid w:val="00F71882"/>
    <w:rsid w:val="00F7554B"/>
    <w:rsid w:val="00F757F8"/>
    <w:rsid w:val="00F758A2"/>
    <w:rsid w:val="00F76558"/>
    <w:rsid w:val="00F8086C"/>
    <w:rsid w:val="00F82E61"/>
    <w:rsid w:val="00F831DF"/>
    <w:rsid w:val="00F83ECA"/>
    <w:rsid w:val="00F84173"/>
    <w:rsid w:val="00F84E3A"/>
    <w:rsid w:val="00F84E50"/>
    <w:rsid w:val="00F852CE"/>
    <w:rsid w:val="00F86124"/>
    <w:rsid w:val="00FA28E4"/>
    <w:rsid w:val="00FA64A5"/>
    <w:rsid w:val="00FB09DE"/>
    <w:rsid w:val="00FB2098"/>
    <w:rsid w:val="00FB2221"/>
    <w:rsid w:val="00FB38BD"/>
    <w:rsid w:val="00FB50E4"/>
    <w:rsid w:val="00FB5922"/>
    <w:rsid w:val="00FC08C5"/>
    <w:rsid w:val="00FC13DA"/>
    <w:rsid w:val="00FC4351"/>
    <w:rsid w:val="00FC7020"/>
    <w:rsid w:val="00FD10EE"/>
    <w:rsid w:val="00FD26C5"/>
    <w:rsid w:val="00FD485D"/>
    <w:rsid w:val="00FD510C"/>
    <w:rsid w:val="00FE0607"/>
    <w:rsid w:val="00FE063E"/>
    <w:rsid w:val="00FE109C"/>
    <w:rsid w:val="00FE3845"/>
    <w:rsid w:val="00FE39B3"/>
    <w:rsid w:val="00FE4BA0"/>
    <w:rsid w:val="00FE7AD9"/>
    <w:rsid w:val="00FF12BA"/>
    <w:rsid w:val="00FF20CA"/>
    <w:rsid w:val="00FF2710"/>
    <w:rsid w:val="00FF5CD3"/>
    <w:rsid w:val="00FF6066"/>
    <w:rsid w:val="02512ADA"/>
    <w:rsid w:val="035567D5"/>
    <w:rsid w:val="03692804"/>
    <w:rsid w:val="043E5864"/>
    <w:rsid w:val="093A7267"/>
    <w:rsid w:val="0DF140BE"/>
    <w:rsid w:val="0F223902"/>
    <w:rsid w:val="0F393AF7"/>
    <w:rsid w:val="12E6566D"/>
    <w:rsid w:val="15F71555"/>
    <w:rsid w:val="1927397F"/>
    <w:rsid w:val="1C186FBC"/>
    <w:rsid w:val="1C1D76F3"/>
    <w:rsid w:val="1E5B4FEC"/>
    <w:rsid w:val="1F777657"/>
    <w:rsid w:val="20604C29"/>
    <w:rsid w:val="26F86F83"/>
    <w:rsid w:val="27223879"/>
    <w:rsid w:val="27625912"/>
    <w:rsid w:val="276327EA"/>
    <w:rsid w:val="27711845"/>
    <w:rsid w:val="290202FA"/>
    <w:rsid w:val="2B5747C6"/>
    <w:rsid w:val="2B776D75"/>
    <w:rsid w:val="2BAD0301"/>
    <w:rsid w:val="2C4E3559"/>
    <w:rsid w:val="2FDE3E86"/>
    <w:rsid w:val="307726D6"/>
    <w:rsid w:val="31DF5321"/>
    <w:rsid w:val="3433135E"/>
    <w:rsid w:val="34F14D3E"/>
    <w:rsid w:val="357372DF"/>
    <w:rsid w:val="35D201CC"/>
    <w:rsid w:val="36FD6D1A"/>
    <w:rsid w:val="37B46CFC"/>
    <w:rsid w:val="38FD5A78"/>
    <w:rsid w:val="394042DE"/>
    <w:rsid w:val="3C924072"/>
    <w:rsid w:val="3FDB4C7C"/>
    <w:rsid w:val="40C34B2E"/>
    <w:rsid w:val="431D68D9"/>
    <w:rsid w:val="43255D60"/>
    <w:rsid w:val="435720D9"/>
    <w:rsid w:val="48A3696D"/>
    <w:rsid w:val="49027C18"/>
    <w:rsid w:val="49145A6D"/>
    <w:rsid w:val="4ECB7118"/>
    <w:rsid w:val="50D6025D"/>
    <w:rsid w:val="554F5B26"/>
    <w:rsid w:val="5D714EA3"/>
    <w:rsid w:val="5E784ABE"/>
    <w:rsid w:val="60EC51F0"/>
    <w:rsid w:val="61E651AC"/>
    <w:rsid w:val="62FB63BA"/>
    <w:rsid w:val="640306B5"/>
    <w:rsid w:val="68950E98"/>
    <w:rsid w:val="6A2923F0"/>
    <w:rsid w:val="6CCA7D73"/>
    <w:rsid w:val="71611611"/>
    <w:rsid w:val="72131A85"/>
    <w:rsid w:val="7245712D"/>
    <w:rsid w:val="75000875"/>
    <w:rsid w:val="79497561"/>
    <w:rsid w:val="7EEC2D89"/>
    <w:rsid w:val="7F2F3938"/>
    <w:rsid w:val="7FA7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autoRedefine/>
    <w:qFormat/>
    <w:uiPriority w:val="0"/>
    <w:pPr>
      <w:keepNext/>
      <w:keepLines/>
      <w:spacing w:before="340" w:after="330" w:line="400" w:lineRule="exact"/>
      <w:jc w:val="center"/>
      <w:outlineLvl w:val="0"/>
    </w:pPr>
    <w:rPr>
      <w:b/>
      <w:bCs/>
      <w:kern w:val="44"/>
      <w:sz w:val="28"/>
      <w:szCs w:val="44"/>
    </w:rPr>
  </w:style>
  <w:style w:type="paragraph" w:styleId="3">
    <w:name w:val="heading 2"/>
    <w:basedOn w:val="1"/>
    <w:next w:val="1"/>
    <w:link w:val="63"/>
    <w:autoRedefine/>
    <w:unhideWhenUsed/>
    <w:qFormat/>
    <w:uiPriority w:val="0"/>
    <w:pPr>
      <w:keepNext/>
      <w:keepLines/>
      <w:spacing w:before="260" w:after="260"/>
      <w:jc w:val="center"/>
      <w:outlineLvl w:val="1"/>
    </w:pPr>
    <w:rPr>
      <w:rFonts w:asciiTheme="majorHAnsi" w:hAnsiTheme="majorHAnsi" w:eastAsiaTheme="majorEastAsia" w:cstheme="majorBidi"/>
      <w:b/>
      <w:bCs/>
      <w:sz w:val="24"/>
      <w:szCs w:val="32"/>
    </w:rPr>
  </w:style>
  <w:style w:type="paragraph" w:styleId="4">
    <w:name w:val="heading 3"/>
    <w:basedOn w:val="1"/>
    <w:next w:val="1"/>
    <w:link w:val="64"/>
    <w:qFormat/>
    <w:uiPriority w:val="0"/>
    <w:pPr>
      <w:keepNext/>
      <w:keepLines/>
      <w:spacing w:before="260" w:after="260"/>
      <w:outlineLvl w:val="2"/>
    </w:pPr>
    <w:rPr>
      <w:rFonts w:ascii="Times New Roman" w:hAnsi="Times New Roman" w:eastAsia="宋体" w:cs="Times New Roman"/>
      <w:b/>
      <w:bCs/>
      <w:sz w:val="28"/>
      <w:szCs w:val="32"/>
    </w:rPr>
  </w:style>
  <w:style w:type="paragraph" w:styleId="5">
    <w:name w:val="heading 4"/>
    <w:basedOn w:val="1"/>
    <w:next w:val="1"/>
    <w:link w:val="65"/>
    <w:autoRedefine/>
    <w:qFormat/>
    <w:uiPriority w:val="0"/>
    <w:pPr>
      <w:keepNext/>
      <w:keepLines/>
      <w:spacing w:before="280" w:after="290" w:line="374" w:lineRule="auto"/>
      <w:outlineLvl w:val="3"/>
    </w:pPr>
    <w:rPr>
      <w:rFonts w:ascii="Arial" w:hAnsi="Arial" w:eastAsia="黑体" w:cs="Times New Roman"/>
      <w:b/>
      <w:bCs/>
      <w:sz w:val="28"/>
      <w:szCs w:val="28"/>
    </w:rPr>
  </w:style>
  <w:style w:type="paragraph" w:styleId="6">
    <w:name w:val="heading 6"/>
    <w:basedOn w:val="1"/>
    <w:next w:val="1"/>
    <w:link w:val="66"/>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7">
    <w:name w:val="heading 7"/>
    <w:basedOn w:val="1"/>
    <w:next w:val="1"/>
    <w:link w:val="67"/>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eastAsia="宋体" w:cs="Times New Roman"/>
      <w:b/>
      <w:bCs/>
      <w:kern w:val="0"/>
      <w:sz w:val="24"/>
      <w:szCs w:val="24"/>
    </w:rPr>
  </w:style>
  <w:style w:type="paragraph" w:styleId="8">
    <w:name w:val="heading 8"/>
    <w:basedOn w:val="1"/>
    <w:next w:val="1"/>
    <w:link w:val="68"/>
    <w:qFormat/>
    <w:uiPriority w:val="0"/>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9">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44">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1260"/>
      <w:jc w:val="left"/>
    </w:pPr>
    <w:rPr>
      <w:rFonts w:ascii="Times New Roman" w:hAnsi="Times New Roman" w:eastAsia="宋体" w:cs="Times New Roman"/>
      <w:sz w:val="18"/>
      <w:szCs w:val="18"/>
    </w:rPr>
  </w:style>
  <w:style w:type="paragraph" w:styleId="11">
    <w:name w:val="Normal Indent"/>
    <w:basedOn w:val="1"/>
    <w:next w:val="1"/>
    <w:qFormat/>
    <w:uiPriority w:val="0"/>
    <w:pPr>
      <w:ind w:firstLine="420" w:firstLineChars="200"/>
    </w:pPr>
    <w:rPr>
      <w:rFonts w:ascii="Times New Roman" w:hAnsi="Times New Roman" w:eastAsia="宋体" w:cs="Times New Roman"/>
      <w:szCs w:val="24"/>
    </w:rPr>
  </w:style>
  <w:style w:type="paragraph" w:styleId="12">
    <w:name w:val="Document Map"/>
    <w:basedOn w:val="1"/>
    <w:link w:val="269"/>
    <w:autoRedefine/>
    <w:qFormat/>
    <w:uiPriority w:val="0"/>
    <w:pPr>
      <w:shd w:val="clear" w:color="auto" w:fill="000080"/>
    </w:pPr>
    <w:rPr>
      <w:rFonts w:ascii="Times New Roman" w:hAnsi="Times New Roman" w:eastAsia="宋体" w:cs="Times New Roman"/>
      <w:szCs w:val="24"/>
    </w:rPr>
  </w:style>
  <w:style w:type="paragraph" w:styleId="13">
    <w:name w:val="annotation text"/>
    <w:basedOn w:val="1"/>
    <w:link w:val="408"/>
    <w:qFormat/>
    <w:uiPriority w:val="0"/>
    <w:pPr>
      <w:jc w:val="left"/>
    </w:pPr>
    <w:rPr>
      <w:rFonts w:eastAsia="宋体"/>
      <w:szCs w:val="24"/>
    </w:rPr>
  </w:style>
  <w:style w:type="paragraph" w:styleId="14">
    <w:name w:val="Body Text 3"/>
    <w:basedOn w:val="1"/>
    <w:link w:val="426"/>
    <w:qFormat/>
    <w:uiPriority w:val="99"/>
    <w:rPr>
      <w:rFonts w:ascii="宋体" w:hAnsi="Times New Roman" w:eastAsia="宋体" w:cs="Times New Roman"/>
      <w:sz w:val="24"/>
      <w:szCs w:val="20"/>
    </w:rPr>
  </w:style>
  <w:style w:type="paragraph" w:styleId="15">
    <w:name w:val="Body Text"/>
    <w:basedOn w:val="1"/>
    <w:link w:val="428"/>
    <w:autoRedefine/>
    <w:qFormat/>
    <w:uiPriority w:val="1"/>
    <w:pPr>
      <w:spacing w:after="120"/>
    </w:pPr>
    <w:rPr>
      <w:rFonts w:ascii="Times New Roman" w:hAnsi="Times New Roman" w:eastAsia="宋体" w:cs="Times New Roman"/>
      <w:szCs w:val="24"/>
    </w:rPr>
  </w:style>
  <w:style w:type="paragraph" w:styleId="16">
    <w:name w:val="Body Text Indent"/>
    <w:basedOn w:val="1"/>
    <w:link w:val="429"/>
    <w:qFormat/>
    <w:uiPriority w:val="0"/>
    <w:pPr>
      <w:spacing w:after="120"/>
      <w:ind w:left="420" w:leftChars="200"/>
    </w:pPr>
    <w:rPr>
      <w:rFonts w:ascii="Times New Roman" w:hAnsi="Times New Roman" w:eastAsia="宋体" w:cs="Times New Roman"/>
      <w:szCs w:val="24"/>
    </w:rPr>
  </w:style>
  <w:style w:type="paragraph" w:styleId="17">
    <w:name w:val="toc 5"/>
    <w:basedOn w:val="1"/>
    <w:next w:val="1"/>
    <w:qFormat/>
    <w:uiPriority w:val="39"/>
    <w:pPr>
      <w:ind w:left="840"/>
      <w:jc w:val="left"/>
    </w:pPr>
    <w:rPr>
      <w:rFonts w:ascii="Times New Roman" w:hAnsi="Times New Roman" w:eastAsia="宋体" w:cs="Times New Roman"/>
      <w:sz w:val="18"/>
      <w:szCs w:val="18"/>
    </w:rPr>
  </w:style>
  <w:style w:type="paragraph" w:styleId="18">
    <w:name w:val="toc 3"/>
    <w:basedOn w:val="1"/>
    <w:next w:val="1"/>
    <w:autoRedefine/>
    <w:qFormat/>
    <w:uiPriority w:val="39"/>
    <w:pPr>
      <w:ind w:left="420"/>
      <w:jc w:val="left"/>
    </w:pPr>
    <w:rPr>
      <w:rFonts w:ascii="Times New Roman" w:hAnsi="Times New Roman" w:eastAsia="宋体" w:cs="Times New Roman"/>
      <w:i/>
      <w:iCs/>
      <w:sz w:val="20"/>
      <w:szCs w:val="20"/>
    </w:rPr>
  </w:style>
  <w:style w:type="paragraph" w:styleId="19">
    <w:name w:val="Plain Text"/>
    <w:basedOn w:val="1"/>
    <w:next w:val="1"/>
    <w:link w:val="411"/>
    <w:qFormat/>
    <w:uiPriority w:val="0"/>
    <w:rPr>
      <w:rFonts w:ascii="Courier New" w:hAnsi="Courier New" w:eastAsia="宋体"/>
    </w:rPr>
  </w:style>
  <w:style w:type="paragraph" w:styleId="20">
    <w:name w:val="toc 8"/>
    <w:basedOn w:val="1"/>
    <w:next w:val="1"/>
    <w:qFormat/>
    <w:uiPriority w:val="39"/>
    <w:pPr>
      <w:ind w:left="1470"/>
      <w:jc w:val="left"/>
    </w:pPr>
    <w:rPr>
      <w:rFonts w:ascii="Times New Roman" w:hAnsi="Times New Roman" w:eastAsia="宋体" w:cs="Times New Roman"/>
      <w:sz w:val="18"/>
      <w:szCs w:val="18"/>
    </w:rPr>
  </w:style>
  <w:style w:type="paragraph" w:styleId="21">
    <w:name w:val="Date"/>
    <w:basedOn w:val="1"/>
    <w:next w:val="1"/>
    <w:link w:val="432"/>
    <w:autoRedefine/>
    <w:qFormat/>
    <w:uiPriority w:val="0"/>
    <w:rPr>
      <w:rFonts w:ascii="Times New Roman" w:hAnsi="Times New Roman" w:eastAsia="宋体" w:cs="Times New Roman"/>
      <w:sz w:val="24"/>
      <w:szCs w:val="20"/>
    </w:rPr>
  </w:style>
  <w:style w:type="paragraph" w:styleId="22">
    <w:name w:val="Body Text Indent 2"/>
    <w:basedOn w:val="1"/>
    <w:link w:val="477"/>
    <w:qFormat/>
    <w:uiPriority w:val="0"/>
    <w:pPr>
      <w:spacing w:after="120" w:line="480" w:lineRule="auto"/>
      <w:ind w:left="420" w:leftChars="200"/>
    </w:pPr>
    <w:rPr>
      <w:rFonts w:ascii="Times New Roman" w:hAnsi="Times New Roman" w:eastAsia="宋体" w:cs="Times New Roman"/>
      <w:szCs w:val="24"/>
    </w:rPr>
  </w:style>
  <w:style w:type="paragraph" w:styleId="23">
    <w:name w:val="endnote text"/>
    <w:basedOn w:val="1"/>
    <w:link w:val="465"/>
    <w:autoRedefine/>
    <w:qFormat/>
    <w:uiPriority w:val="0"/>
    <w:pPr>
      <w:snapToGrid w:val="0"/>
      <w:jc w:val="left"/>
    </w:pPr>
    <w:rPr>
      <w:kern w:val="0"/>
      <w:sz w:val="20"/>
      <w:szCs w:val="24"/>
    </w:rPr>
  </w:style>
  <w:style w:type="paragraph" w:styleId="24">
    <w:name w:val="Balloon Text"/>
    <w:basedOn w:val="1"/>
    <w:link w:val="61"/>
    <w:unhideWhenUsed/>
    <w:qFormat/>
    <w:uiPriority w:val="0"/>
    <w:rPr>
      <w:sz w:val="18"/>
      <w:szCs w:val="18"/>
    </w:rPr>
  </w:style>
  <w:style w:type="paragraph" w:styleId="25">
    <w:name w:val="footer"/>
    <w:basedOn w:val="1"/>
    <w:link w:val="60"/>
    <w:unhideWhenUsed/>
    <w:qFormat/>
    <w:uiPriority w:val="99"/>
    <w:pPr>
      <w:tabs>
        <w:tab w:val="center" w:pos="4153"/>
        <w:tab w:val="right" w:pos="8306"/>
      </w:tabs>
      <w:snapToGrid w:val="0"/>
      <w:jc w:val="left"/>
    </w:pPr>
    <w:rPr>
      <w:sz w:val="18"/>
      <w:szCs w:val="18"/>
    </w:rPr>
  </w:style>
  <w:style w:type="paragraph" w:styleId="26">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autoRedefine/>
    <w:qFormat/>
    <w:uiPriority w:val="39"/>
    <w:pPr>
      <w:ind w:left="630"/>
      <w:jc w:val="left"/>
    </w:pPr>
    <w:rPr>
      <w:rFonts w:ascii="Times New Roman" w:hAnsi="Times New Roman" w:eastAsia="宋体" w:cs="Times New Roman"/>
      <w:sz w:val="18"/>
      <w:szCs w:val="18"/>
    </w:rPr>
  </w:style>
  <w:style w:type="paragraph" w:styleId="29">
    <w:name w:val="footnote text"/>
    <w:basedOn w:val="1"/>
    <w:link w:val="309"/>
    <w:autoRedefine/>
    <w:qFormat/>
    <w:uiPriority w:val="99"/>
    <w:rPr>
      <w:rFonts w:ascii="Times New Roman" w:hAnsi="Times New Roman" w:eastAsia="宋体" w:cs="Times New Roman"/>
      <w:sz w:val="20"/>
      <w:szCs w:val="20"/>
    </w:rPr>
  </w:style>
  <w:style w:type="paragraph" w:styleId="30">
    <w:name w:val="toc 6"/>
    <w:basedOn w:val="1"/>
    <w:next w:val="1"/>
    <w:autoRedefine/>
    <w:qFormat/>
    <w:uiPriority w:val="39"/>
    <w:pPr>
      <w:ind w:left="1050"/>
      <w:jc w:val="left"/>
    </w:pPr>
    <w:rPr>
      <w:rFonts w:ascii="Times New Roman" w:hAnsi="Times New Roman" w:eastAsia="宋体" w:cs="Times New Roman"/>
      <w:sz w:val="18"/>
      <w:szCs w:val="18"/>
    </w:rPr>
  </w:style>
  <w:style w:type="paragraph" w:styleId="31">
    <w:name w:val="Body Text Indent 3"/>
    <w:basedOn w:val="1"/>
    <w:link w:val="436"/>
    <w:autoRedefine/>
    <w:qFormat/>
    <w:uiPriority w:val="0"/>
    <w:pPr>
      <w:spacing w:after="120"/>
      <w:ind w:left="420" w:leftChars="200"/>
    </w:pPr>
    <w:rPr>
      <w:rFonts w:ascii="Times New Roman" w:hAnsi="Times New Roman" w:eastAsia="宋体" w:cs="Times New Roman"/>
      <w:sz w:val="16"/>
      <w:szCs w:val="16"/>
    </w:rPr>
  </w:style>
  <w:style w:type="paragraph" w:styleId="32">
    <w:name w:val="table of figures"/>
    <w:basedOn w:val="1"/>
    <w:next w:val="1"/>
    <w:autoRedefine/>
    <w:qFormat/>
    <w:uiPriority w:val="0"/>
    <w:pPr>
      <w:ind w:left="200" w:leftChars="200" w:hanging="200" w:hangingChars="200"/>
    </w:pPr>
    <w:rPr>
      <w:rFonts w:ascii="Times New Roman" w:hAnsi="Times New Roman" w:eastAsia="宋体" w:cs="Times New Roman"/>
      <w:szCs w:val="24"/>
    </w:rPr>
  </w:style>
  <w:style w:type="paragraph" w:styleId="33">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34">
    <w:name w:val="toc 9"/>
    <w:basedOn w:val="1"/>
    <w:next w:val="1"/>
    <w:autoRedefine/>
    <w:qFormat/>
    <w:uiPriority w:val="39"/>
    <w:pPr>
      <w:ind w:left="1680"/>
      <w:jc w:val="left"/>
    </w:pPr>
    <w:rPr>
      <w:rFonts w:ascii="Times New Roman" w:hAnsi="Times New Roman" w:eastAsia="宋体" w:cs="Times New Roman"/>
      <w:sz w:val="18"/>
      <w:szCs w:val="18"/>
    </w:rPr>
  </w:style>
  <w:style w:type="paragraph" w:styleId="3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autoRedefine/>
    <w:semiHidden/>
    <w:qFormat/>
    <w:uiPriority w:val="0"/>
    <w:pPr>
      <w:spacing w:line="220" w:lineRule="exact"/>
      <w:jc w:val="center"/>
    </w:pPr>
    <w:rPr>
      <w:rFonts w:ascii="仿宋_GB2312" w:hAnsi="Times New Roman" w:eastAsia="仿宋_GB2312" w:cs="Times New Roman"/>
      <w:szCs w:val="21"/>
    </w:rPr>
  </w:style>
  <w:style w:type="paragraph" w:styleId="37">
    <w:name w:val="Title"/>
    <w:basedOn w:val="1"/>
    <w:link w:val="406"/>
    <w:autoRedefine/>
    <w:qFormat/>
    <w:uiPriority w:val="0"/>
    <w:pPr>
      <w:adjustRightInd w:val="0"/>
      <w:spacing w:before="240" w:after="60" w:line="420" w:lineRule="atLeast"/>
      <w:jc w:val="center"/>
      <w:textAlignment w:val="baseline"/>
      <w:outlineLvl w:val="0"/>
    </w:pPr>
    <w:rPr>
      <w:rFonts w:ascii="Arial" w:hAnsi="Arial" w:eastAsia="宋体"/>
      <w:b/>
      <w:sz w:val="32"/>
    </w:rPr>
  </w:style>
  <w:style w:type="paragraph" w:styleId="38">
    <w:name w:val="annotation subject"/>
    <w:basedOn w:val="13"/>
    <w:next w:val="13"/>
    <w:link w:val="422"/>
    <w:autoRedefine/>
    <w:qFormat/>
    <w:uiPriority w:val="0"/>
    <w:rPr>
      <w:b/>
      <w:bCs/>
    </w:rPr>
  </w:style>
  <w:style w:type="table" w:styleId="40">
    <w:name w:val="Table Grid"/>
    <w:basedOn w:val="3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Light List Accent 3"/>
    <w:basedOn w:val="39"/>
    <w:autoRedefine/>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2">
    <w:name w:val="Medium Shading 2 Accent 5"/>
    <w:basedOn w:val="39"/>
    <w:autoRedefine/>
    <w:qFormat/>
    <w:uiPriority w:val="64"/>
    <w:rPr>
      <w:sz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43">
    <w:name w:val="Medium List 2 Accent 1"/>
    <w:basedOn w:val="39"/>
    <w:autoRedefine/>
    <w:qFormat/>
    <w:uiPriority w:val="66"/>
    <w:rPr>
      <w:rFonts w:asciiTheme="majorHAnsi" w:hAnsiTheme="majorHAnsi" w:eastAsiaTheme="majorEastAsia" w:cstheme="majorBidi"/>
      <w:color w:val="000000" w:themeColor="text1"/>
      <w:sz w:val="22"/>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basedOn w:val="44"/>
    <w:autoRedefine/>
    <w:unhideWhenUsed/>
    <w:qFormat/>
    <w:uiPriority w:val="99"/>
    <w:rPr>
      <w:color w:val="666666"/>
      <w:u w:val="none"/>
    </w:rPr>
  </w:style>
  <w:style w:type="character" w:styleId="48">
    <w:name w:val="Emphasis"/>
    <w:basedOn w:val="44"/>
    <w:qFormat/>
    <w:uiPriority w:val="20"/>
    <w:rPr>
      <w:i/>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styleId="51">
    <w:name w:val="footnote reference"/>
    <w:autoRedefine/>
    <w:qFormat/>
    <w:uiPriority w:val="0"/>
    <w:rPr>
      <w:vertAlign w:val="superscript"/>
    </w:rPr>
  </w:style>
  <w:style w:type="paragraph" w:customStyle="1" w:styleId="52">
    <w:name w:val="_Style 3"/>
    <w:basedOn w:val="1"/>
    <w:qFormat/>
    <w:uiPriority w:val="0"/>
    <w:pPr>
      <w:widowControl/>
      <w:ind w:firstLine="420" w:firstLineChars="200"/>
      <w:jc w:val="left"/>
    </w:pPr>
    <w:rPr>
      <w:rFonts w:ascii="宋体" w:hAnsi="Times New Roman" w:eastAsia="宋体" w:cs="Times New Roman"/>
      <w:kern w:val="0"/>
      <w:sz w:val="24"/>
      <w:szCs w:val="20"/>
    </w:rPr>
  </w:style>
  <w:style w:type="table" w:customStyle="1" w:styleId="53">
    <w:name w:val="浅色底纹 - 强调文字颜色 11"/>
    <w:basedOn w:val="39"/>
    <w:autoRedefine/>
    <w:qFormat/>
    <w:uiPriority w:val="60"/>
    <w:rPr>
      <w:color w:val="376092" w:themeColor="accent1" w:themeShade="BF"/>
      <w:sz w:val="22"/>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54">
    <w:name w:val="浅色列表1"/>
    <w:basedOn w:val="39"/>
    <w:autoRedefine/>
    <w:qFormat/>
    <w:uiPriority w:val="61"/>
    <w:rPr>
      <w:sz w:val="22"/>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paragraph" w:customStyle="1" w:styleId="55">
    <w:name w:val="Normal_0"/>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56">
    <w:name w:val="Normal_5"/>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57">
    <w:name w:val="标题 1 Char"/>
    <w:basedOn w:val="44"/>
    <w:link w:val="2"/>
    <w:autoRedefine/>
    <w:qFormat/>
    <w:uiPriority w:val="0"/>
    <w:rPr>
      <w:b/>
      <w:bCs/>
      <w:kern w:val="44"/>
      <w:sz w:val="28"/>
      <w:szCs w:val="44"/>
    </w:rPr>
  </w:style>
  <w:style w:type="paragraph" w:styleId="58">
    <w:name w:val="List Paragraph"/>
    <w:basedOn w:val="1"/>
    <w:autoRedefine/>
    <w:qFormat/>
    <w:uiPriority w:val="1"/>
    <w:pPr>
      <w:ind w:firstLine="420" w:firstLineChars="200"/>
    </w:pPr>
  </w:style>
  <w:style w:type="character" w:customStyle="1" w:styleId="59">
    <w:name w:val="页眉 Char"/>
    <w:basedOn w:val="44"/>
    <w:link w:val="26"/>
    <w:autoRedefine/>
    <w:qFormat/>
    <w:uiPriority w:val="0"/>
    <w:rPr>
      <w:sz w:val="18"/>
      <w:szCs w:val="18"/>
    </w:rPr>
  </w:style>
  <w:style w:type="character" w:customStyle="1" w:styleId="60">
    <w:name w:val="页脚 Char"/>
    <w:basedOn w:val="44"/>
    <w:link w:val="25"/>
    <w:autoRedefine/>
    <w:qFormat/>
    <w:uiPriority w:val="99"/>
    <w:rPr>
      <w:sz w:val="18"/>
      <w:szCs w:val="18"/>
    </w:rPr>
  </w:style>
  <w:style w:type="character" w:customStyle="1" w:styleId="61">
    <w:name w:val="批注框文本 Char"/>
    <w:basedOn w:val="44"/>
    <w:link w:val="24"/>
    <w:autoRedefine/>
    <w:qFormat/>
    <w:uiPriority w:val="0"/>
    <w:rPr>
      <w:sz w:val="18"/>
      <w:szCs w:val="18"/>
    </w:rPr>
  </w:style>
  <w:style w:type="paragraph" w:customStyle="1" w:styleId="62">
    <w:name w:val="Normal_25"/>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63">
    <w:name w:val="标题 2 Char"/>
    <w:basedOn w:val="44"/>
    <w:link w:val="3"/>
    <w:autoRedefine/>
    <w:qFormat/>
    <w:uiPriority w:val="0"/>
    <w:rPr>
      <w:rFonts w:asciiTheme="majorHAnsi" w:hAnsiTheme="majorHAnsi" w:eastAsiaTheme="majorEastAsia" w:cstheme="majorBidi"/>
      <w:b/>
      <w:bCs/>
      <w:sz w:val="24"/>
      <w:szCs w:val="32"/>
    </w:rPr>
  </w:style>
  <w:style w:type="character" w:customStyle="1" w:styleId="64">
    <w:name w:val="标题 3 Char"/>
    <w:basedOn w:val="44"/>
    <w:link w:val="4"/>
    <w:autoRedefine/>
    <w:qFormat/>
    <w:uiPriority w:val="0"/>
    <w:rPr>
      <w:rFonts w:ascii="Times New Roman" w:hAnsi="Times New Roman" w:eastAsia="宋体" w:cs="Times New Roman"/>
      <w:b/>
      <w:bCs/>
      <w:sz w:val="28"/>
      <w:szCs w:val="32"/>
    </w:rPr>
  </w:style>
  <w:style w:type="character" w:customStyle="1" w:styleId="65">
    <w:name w:val="标题 4 Char"/>
    <w:basedOn w:val="44"/>
    <w:link w:val="5"/>
    <w:autoRedefine/>
    <w:qFormat/>
    <w:uiPriority w:val="0"/>
    <w:rPr>
      <w:rFonts w:ascii="Arial" w:hAnsi="Arial" w:eastAsia="黑体" w:cs="Times New Roman"/>
      <w:b/>
      <w:bCs/>
      <w:sz w:val="28"/>
      <w:szCs w:val="28"/>
    </w:rPr>
  </w:style>
  <w:style w:type="character" w:customStyle="1" w:styleId="66">
    <w:name w:val="标题 6 Char"/>
    <w:basedOn w:val="44"/>
    <w:link w:val="6"/>
    <w:autoRedefine/>
    <w:qFormat/>
    <w:uiPriority w:val="0"/>
    <w:rPr>
      <w:rFonts w:ascii="Arial" w:hAnsi="Arial" w:eastAsia="黑体" w:cs="Times New Roman"/>
      <w:b/>
      <w:bCs/>
      <w:kern w:val="0"/>
      <w:sz w:val="24"/>
      <w:szCs w:val="24"/>
    </w:rPr>
  </w:style>
  <w:style w:type="character" w:customStyle="1" w:styleId="67">
    <w:name w:val="标题 7 Char"/>
    <w:basedOn w:val="44"/>
    <w:link w:val="7"/>
    <w:autoRedefine/>
    <w:qFormat/>
    <w:uiPriority w:val="0"/>
    <w:rPr>
      <w:rFonts w:ascii="Times New Roman" w:hAnsi="Times New Roman" w:eastAsia="宋体" w:cs="Times New Roman"/>
      <w:b/>
      <w:bCs/>
      <w:kern w:val="0"/>
      <w:sz w:val="24"/>
      <w:szCs w:val="24"/>
    </w:rPr>
  </w:style>
  <w:style w:type="character" w:customStyle="1" w:styleId="68">
    <w:name w:val="标题 8 Char"/>
    <w:basedOn w:val="44"/>
    <w:link w:val="8"/>
    <w:autoRedefine/>
    <w:qFormat/>
    <w:uiPriority w:val="0"/>
    <w:rPr>
      <w:rFonts w:ascii="Arial" w:hAnsi="Arial" w:eastAsia="黑体" w:cs="Times New Roman"/>
      <w:kern w:val="0"/>
      <w:sz w:val="24"/>
      <w:szCs w:val="24"/>
    </w:rPr>
  </w:style>
  <w:style w:type="character" w:customStyle="1" w:styleId="69">
    <w:name w:val="标题 9 Char"/>
    <w:basedOn w:val="44"/>
    <w:link w:val="9"/>
    <w:autoRedefine/>
    <w:qFormat/>
    <w:uiPriority w:val="0"/>
    <w:rPr>
      <w:rFonts w:ascii="Arial" w:hAnsi="Arial" w:eastAsia="黑体" w:cs="Times New Roman"/>
      <w:kern w:val="0"/>
      <w:szCs w:val="21"/>
    </w:rPr>
  </w:style>
  <w:style w:type="paragraph" w:customStyle="1" w:styleId="70">
    <w:name w:val="759127A2943647F8AF2D3FC6F7DC3341"/>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1">
    <w:name w:val="8595A71431B84F609A33760DCFC02109"/>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2">
    <w:name w:val="DEB0AA375AA448A5B00E3FF23BFBE12D"/>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3">
    <w:name w:val="68BAF9E1919946E38FBF9403D0201D18"/>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4">
    <w:name w:val="00A22CA0A97E43DFAE7D411128C20064"/>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5">
    <w:name w:val="3BF083863B084D478F010C775FB0ACE4"/>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76">
    <w:name w:val="No Spacing"/>
    <w:link w:val="114"/>
    <w:autoRedefine/>
    <w:qFormat/>
    <w:uiPriority w:val="1"/>
    <w:rPr>
      <w:rFonts w:asciiTheme="minorHAnsi" w:hAnsiTheme="minorHAnsi" w:eastAsiaTheme="minorEastAsia" w:cstheme="minorBidi"/>
      <w:sz w:val="22"/>
      <w:szCs w:val="22"/>
      <w:lang w:val="en-US" w:eastAsia="zh-CN" w:bidi="ar-SA"/>
    </w:rPr>
  </w:style>
  <w:style w:type="paragraph" w:customStyle="1" w:styleId="77">
    <w:name w:val="B4209DF655124A0A941069F8EC429A91"/>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8">
    <w:name w:val="5E8A942B92774C978FFC2A16BCB09EA4"/>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9">
    <w:name w:val="502B958ADD7E4C0BBC632EA464AE7F26"/>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0">
    <w:name w:val="0212C4BB51FB4486A54D473CB99779F3"/>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1">
    <w:name w:val="1180CBB1CA754916ADE01832B3862B2E"/>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2">
    <w:name w:val="38B6C04F3F5D4DAEAD25F1B3548B1705"/>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3">
    <w:name w:val="BCDDE9ABABFE460AAF8A1CFF4CFA4596"/>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4">
    <w:name w:val="6AE78B3643DD4987A7BC90F412BB57A5"/>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5">
    <w:name w:val="1D0CE17065A54F3FB3862E5AC4D52F4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6">
    <w:name w:val="FDE21B788D38428EBB88308E46662A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7">
    <w:name w:val="61F1699061294B4FAAA703D98A833B1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8">
    <w:name w:val="0486A6F124DD4F49B89D80E0FAC79CB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9">
    <w:name w:val="6EBFC0455A974C5E8C5D489E4386FD3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0">
    <w:name w:val="3761E84A00C04894881C218FFB92E41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1">
    <w:name w:val="467D52EF42A4486A90FEFFB267C3874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2">
    <w:name w:val="9769ABB7344E4DA8A80BF56CACFDA1D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3">
    <w:name w:val="DB4CB73DC6DE4D1C91CC9795A5C1FE4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4">
    <w:name w:val="D464D14BFD3C41918D4DA1DE0F48D66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5">
    <w:name w:val="7E82FF1F1BAC484EA3BC388F7AE1D4E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6">
    <w:name w:val="1583B571B67F4AA19F2320FDE63BB0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7">
    <w:name w:val="80979BF0A20E44A199A68C1EFDAA22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8">
    <w:name w:val="2B70926E84294DE4875F69CC8C4B958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9">
    <w:name w:val="4A70C42AE6C044898F59FE86510F186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0">
    <w:name w:val="72AF67DA99C34649B0B04195DCC6547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1">
    <w:name w:val="55B9F400E1AA473FAA516B684DBDF7B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2">
    <w:name w:val="85F7C67048BB493DBB83D105582093E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3">
    <w:name w:val="126F79FBDD6843619076DD3A19BD6A6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4">
    <w:name w:val="F003B95880B542B9BE8F051F7F66E3A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5">
    <w:name w:val="AB43573ABA5A4A5BA0F6B17B9C2A4F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6">
    <w:name w:val="89E7A41D6FA14BAAA27E9018BC4B9D6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7">
    <w:name w:val="F5E063AF29A2482EA9F0906FC7C6E27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8">
    <w:name w:val="DA4B1E4DBA9C4FF491B1260221B2A7B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9">
    <w:name w:val="37EA8CFD9F844FF6AC29CC46054276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0">
    <w:name w:val="E7BDA70970CD4F1B92CBEB9A7157D80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1">
    <w:name w:val="A990B0173D3546F890DF96035F8B32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2">
    <w:name w:val="6E1EF81EB07B4DDEB4E2ACF1AFB230C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3">
    <w:name w:val="C54C23360C8D4284A76B3C64CA76F3E8"/>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customStyle="1" w:styleId="114">
    <w:name w:val="无间隔 Char"/>
    <w:basedOn w:val="44"/>
    <w:link w:val="76"/>
    <w:qFormat/>
    <w:uiPriority w:val="1"/>
    <w:rPr>
      <w:kern w:val="0"/>
      <w:sz w:val="22"/>
    </w:rPr>
  </w:style>
  <w:style w:type="paragraph" w:customStyle="1" w:styleId="115">
    <w:name w:val="7AB5F74500E048D4B9BBBD9DC8C79A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6">
    <w:name w:val="BFEDD3D13BA844D085699E5AD44A2E3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7">
    <w:name w:val="C681C91C11114F0AAAB15393B79A053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8">
    <w:name w:val="0F0F715F3A8144758A0751798035833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9">
    <w:name w:val="8D0616015B0F4768961DF1C09DD48C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0">
    <w:name w:val="飞越型"/>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21">
    <w:name w:val="B27BD9FE2F444F9CBDDCFB6E74B8B35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2">
    <w:name w:val="5908F51516E14609967E77AEE7FBACE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3">
    <w:name w:val="8A730B846A4F490A97418F9385A5F10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4">
    <w:name w:val="F9D19C50F322430ABA42882F7F01533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5">
    <w:name w:val="EB7E9E79C6074904853FEFA406C7060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6">
    <w:name w:val="26C683081399483B9462277CD7C46A2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7">
    <w:name w:val="93FABA56D26A4C5A868956E9B1547D4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8">
    <w:name w:val="E5549A11629D4831B9F3A17B25195C2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9">
    <w:name w:val="DED568BBB9834E9984C6E2DDE23F9A2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0">
    <w:name w:val="2B5428D357EC4647AAC032D30D3D5ED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1">
    <w:name w:val="EBF80329AC1D4638BD408C5058D8ECD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2">
    <w:name w:val="E011C4E08799445682D61EC80D965B2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3">
    <w:name w:val="0FCB4D5B2C9043ED84E86352A2984B9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4">
    <w:name w:val="F93B1DF91EE344F5AF11EC15D8B02EC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5">
    <w:name w:val="C58B3397898A4024B59F50E127175F5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6">
    <w:name w:val="97A6CAA7B3F44C36A1444782D4B3BF8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7">
    <w:name w:val="2A860CD6366B437C8964F08E6B451E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8">
    <w:name w:val="B867FFDBCA6347168D17A4AEF0E9F58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9">
    <w:name w:val="6FCF56C457A14DF9B7FA32C375AFBF1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0">
    <w:name w:val="A5023D3FDE6244F680CDCD79F173E6D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1">
    <w:name w:val="运动型"/>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42">
    <w:name w:val="46331C2D95BB4B448C49BF03A63A050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3">
    <w:name w:val="E71904A169384AAE80203F08B292246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4">
    <w:name w:val="A37BA33023494B14A427EB1462F08DF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5">
    <w:name w:val="FF93DA4689E54EDDB75C1E445EC58C22"/>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6">
    <w:name w:val="41242E0734C24BC1A0B21CE2DFFA720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7">
    <w:name w:val="0859368C30F2436281F865212DEE40A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8">
    <w:name w:val="F0EF68CB19EA4A5192E4DB5F9A13B6B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9">
    <w:name w:val="47C1A441432045AFB29D72550A92B25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0">
    <w:name w:val="1A84B115EF4C49C9BBECDF59D99D682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1">
    <w:name w:val="A0B6C0523BA640B181830AA1B99C040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2">
    <w:name w:val="6CE4A24F6E6F4BFF8311D88BEC25E30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3">
    <w:name w:val="AAE269F622A44E71882A490F8781B54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4">
    <w:name w:val="5F0A8AA768FC4A718E57FA5AAC0CB84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5">
    <w:name w:val="CB6B986A1E394600B4A38ACB2AD8005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6">
    <w:name w:val="圆的面积"/>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57">
    <w:name w:val="二项式定理"/>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58">
    <w:name w:val="和的展开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59">
    <w:name w:val="傅立叶级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60">
    <w:name w:val="勾股定理"/>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61">
    <w:name w:val="二次公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62">
    <w:name w:val="泰勒展开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63">
    <w:name w:val="三角恒等式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64">
    <w:name w:val="三角恒等式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165">
    <w:name w:val="20C8B209955741FCBC50EA56277B951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6">
    <w:name w:val="A21BF22EA53F4F8E8EDF386D5615961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7">
    <w:name w:val="D811E79D5D934C66A6FA2E1CE798396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8">
    <w:name w:val="9AA95C8DD2D946B580117B445A34720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9">
    <w:name w:val="8778FC3C20C440D29659E254DE7A37C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0">
    <w:name w:val="90E7E03434E04C7F809F87A890E4D82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1">
    <w:name w:val="B3FB710184544E4DA8CBB08888682B3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2">
    <w:name w:val="5EC7A74B7D194A9190C39C8BF020015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3">
    <w:name w:val="现代型(偶数页)"/>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174">
    <w:name w:val="现代型(奇数页)"/>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175">
    <w:name w:val="2DA1F6B7BF3A409491B673CB6D5FAE1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6">
    <w:name w:val="条纹型"/>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177">
    <w:name w:val="BDAD28D14BA54D72A8BF62B5176561F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8">
    <w:name w:val="B63CC66DD6D54435A4C41D68525F750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9">
    <w:name w:val="8278023A40F24508A4195F513E6AB3C9"/>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0">
    <w:name w:val="运动型(偶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181">
    <w:name w:val="28CD904390274BA4AB8C1FE3E55861C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2">
    <w:name w:val="运动型(奇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183">
    <w:name w:val="DCAF7A472D494B55933635A3A7D70E9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4">
    <w:name w:val="瓷砖型"/>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185">
    <w:name w:val="4CD8896B7B8844F0851450730E28A88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6">
    <w:name w:val="反差型(偶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187">
    <w:name w:val="EB7A09B0C2354C9E8E853DF18D83BEC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8">
    <w:name w:val="反差型(奇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189">
    <w:name w:val="2E807CA30A844CA6A18A64C346ACD61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0">
    <w:name w:val="02993E176E3049AF925F3C071705968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1">
    <w:name w:val="9C479F3C90EB4FF8955A4246B7A5D03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2">
    <w:name w:val="76875A5014DD4C7AB3071855AAD072F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3">
    <w:name w:val="空白(三栏)"/>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194">
    <w:name w:val="AA984008E79348DCBB1A11C133477F0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5">
    <w:name w:val="838BF14986B14F0F88E1F81B2F0B3D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6">
    <w:name w:val="7F82A4FBB3774BE092E0478D25B2FC7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7">
    <w:name w:val="1335CC572C174141BD9EDD9BE32E440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8">
    <w:name w:val="2FC08363847841A48EDF0EDF1CDB3E9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9">
    <w:name w:val="5009028179EB4215B7ECF4B014D690E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0">
    <w:name w:val="0B4F4D1CD8114323A07A4CC47F4CA85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1">
    <w:name w:val="6FBB80E33D104F0AA46CBF77B01403E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2">
    <w:name w:val="E615EFFB1253432EA6F3A4D28518F9E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3">
    <w:name w:val="A5481E12BDBF4780BAD59C112016986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
    <w:name w:val="CC7B87DFFF884927B4D9710F4751542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5">
    <w:name w:val="DC7B4D59A27549A79124B56BE4EE7A7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6">
    <w:name w:val="E0A73C59C11245D59ED59717BBEFCAD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7">
    <w:name w:val="7392FFF2A99B412380F8FEF3A25D511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8">
    <w:name w:val="8C238DBD48394F36A345AC0B5CE3E6F0"/>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9">
    <w:name w:val="753CB35BCE7340739DDE2CE324B2EB4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0">
    <w:name w:val="AE03699F606F4DF18D223C72E93942E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1">
    <w:name w:val="64CD02B0D13B4F4D9E92661AA7CCEFF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2">
    <w:name w:val="4CF912E0411E4D3CB34DCD426B646C0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3">
    <w:name w:val="00F8E1E544B34D4C9851D774F635F7D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4">
    <w:name w:val="FA1BF5CC0D494C3E8C133103EA1498D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5">
    <w:name w:val="6E9263EB931D448F88DF3EF121640D9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6">
    <w:name w:val="条纹型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17">
    <w:name w:val="A35D688F792345B0882E15D6F34F24D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8">
    <w:name w:val="40F3000325E545A2BD0E036C9A49E94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9">
    <w:name w:val="FDB53E1FF4ED412FA89AAC78518ED38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0">
    <w:name w:val="1F56AABE8B1D4B0F81477424D829C02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1">
    <w:name w:val="8C3A1AC7A131436CB417E8B4B1C8DFB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2">
    <w:name w:val="54E3CDE6E3AF43DD826F6158DCE490D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3">
    <w:name w:val="照射型"/>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24">
    <w:name w:val="973BFD90D1CD46B28A086E8638CD818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5">
    <w:name w:val="7F139D3851104D19AACA7D1206C5AF3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6">
    <w:name w:val="2C8AD42D2CD7492CB3313890FF55277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7">
    <w:name w:val="运动型(偶数页)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28">
    <w:name w:val="运动型(奇数页)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29">
    <w:name w:val="9C7B25F344934C51959AFAD514A49F8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0">
    <w:name w:val="F98E686783EF410EAD9E84263673361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1">
    <w:name w:val="瓷砖型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32">
    <w:name w:val="4579358F0A37454E9D32C6A46FDEDB2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
    <w:name w:val="3A65A485AD394CC4AEE794BADC3295A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4">
    <w:name w:val="E2DBBDFB5F70480CA0089FAFAB9A90D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5">
    <w:name w:val="8F2E5FBB1D404C24950A7CF600372E9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6">
    <w:name w:val="61149E23CE4A482DAA4C830FFFA04A5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7">
    <w:name w:val="55321F65844F43039D0A62051FDF32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8">
    <w:name w:val="空白(三栏)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39">
    <w:name w:val="强调条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0">
    <w:name w:val="强调条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1">
    <w:name w:val="强调条 3"/>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2">
    <w:name w:val="方括号"/>
    <w:autoRedefine/>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3">
    <w:name w:val="圆点"/>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4">
    <w:name w:val="大型倾斜"/>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5">
    <w:name w:val="大型彩色"/>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6">
    <w:name w:val="镶嵌图案"/>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7">
    <w:name w:val="页码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8">
    <w:name w:val="普通数字"/>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9">
    <w:name w:val="罗马"/>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50">
    <w:name w:val="圆角矩形"/>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51">
    <w:name w:val="颚化符"/>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52">
    <w:name w:val="顶线"/>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53">
    <w:name w:val="双线条"/>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54">
    <w:name w:val="箭头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55">
    <w:name w:val="箭头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56">
    <w:name w:val="框中倾斜 1"/>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57">
    <w:name w:val="框中倾斜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58">
    <w:name w:val="方括号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59">
    <w:name w:val="书的折角"/>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60">
    <w:name w:val="大型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61">
    <w:name w:val="大型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62">
    <w:name w:val="镶嵌图案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63">
    <w:name w:val="镶嵌图案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64">
    <w:name w:val="镶嵌图案 3"/>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65">
    <w:name w:val="轮廓圆 1"/>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66">
    <w:name w:val="轮廓圆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67">
    <w:name w:val="轮廓圆 3"/>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68">
    <w:name w:val="带状物"/>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character" w:customStyle="1" w:styleId="269">
    <w:name w:val="文档结构图 Char"/>
    <w:basedOn w:val="44"/>
    <w:link w:val="12"/>
    <w:qFormat/>
    <w:uiPriority w:val="0"/>
    <w:rPr>
      <w:rFonts w:ascii="Times New Roman" w:hAnsi="Times New Roman" w:eastAsia="宋体" w:cs="Times New Roman"/>
      <w:szCs w:val="24"/>
      <w:shd w:val="clear" w:color="auto" w:fill="000080"/>
    </w:rPr>
  </w:style>
  <w:style w:type="paragraph" w:customStyle="1" w:styleId="270">
    <w:name w:val="方框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71">
    <w:name w:val="方框 2"/>
    <w:autoRedefine/>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72">
    <w:name w:val="方框 3"/>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73">
    <w:name w:val="堆叠纸张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74">
    <w:name w:val="堆叠纸张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75">
    <w:name w:val="星形"/>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76">
    <w:name w:val="标签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77">
    <w:name w:val="标签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78">
    <w:name w:val="顶线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79">
    <w:name w:val="顶线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0">
    <w:name w:val="椭圆"/>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81">
    <w:name w:val="卷形"/>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82">
    <w:name w:val="三角形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83">
    <w:name w:val="三角形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84">
    <w:name w:val="双线条 1"/>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85">
    <w:name w:val="双线条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86">
    <w:name w:val="纵向轮廓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87">
    <w:name w:val="纵向轮廓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88">
    <w:name w:val="强调条(左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9">
    <w:name w:val="强调条(右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90">
    <w:name w:val="箭头(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91">
    <w:name w:val="箭头(右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92">
    <w:name w:val="框线(左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93">
    <w:name w:val="框线(右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94">
    <w:name w:val="圆(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95">
    <w:name w:val="圆(右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96">
    <w:name w:val="大型(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97">
    <w:name w:val="大型(右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98">
    <w:name w:val="轨道(左侧)"/>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299">
    <w:name w:val="轨道(右侧)"/>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00">
    <w:name w:val="纵向(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01">
    <w:name w:val="纵向(右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02">
    <w:name w:val="方括号 2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03">
    <w:name w:val="圆"/>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04">
    <w:name w:val="大型倾斜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05">
    <w:name w:val="纵向轮廓 11"/>
    <w:autoRedefine/>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06">
    <w:name w:val="纵向轮廓 2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07">
    <w:name w:val="很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08">
    <w:name w:val="Decimal Aligned"/>
    <w:basedOn w:val="1"/>
    <w:qFormat/>
    <w:uiPriority w:val="40"/>
    <w:pPr>
      <w:widowControl/>
      <w:tabs>
        <w:tab w:val="decimal" w:pos="360"/>
      </w:tabs>
      <w:spacing w:after="200" w:line="276" w:lineRule="auto"/>
      <w:jc w:val="left"/>
    </w:pPr>
    <w:rPr>
      <w:kern w:val="0"/>
      <w:sz w:val="22"/>
    </w:rPr>
  </w:style>
  <w:style w:type="character" w:customStyle="1" w:styleId="309">
    <w:name w:val="脚注文本 Char"/>
    <w:basedOn w:val="44"/>
    <w:link w:val="29"/>
    <w:qFormat/>
    <w:uiPriority w:val="99"/>
    <w:rPr>
      <w:rFonts w:ascii="Times New Roman" w:hAnsi="Times New Roman" w:eastAsia="宋体" w:cs="Times New Roman"/>
      <w:sz w:val="20"/>
      <w:szCs w:val="20"/>
    </w:rPr>
  </w:style>
  <w:style w:type="character" w:customStyle="1" w:styleId="310">
    <w:name w:val="不明显强调1"/>
    <w:basedOn w:val="44"/>
    <w:qFormat/>
    <w:uiPriority w:val="19"/>
    <w:rPr>
      <w:rFonts w:eastAsiaTheme="minorEastAsia" w:cstheme="minorBidi"/>
      <w:i/>
      <w:iCs/>
      <w:color w:val="808080" w:themeColor="text1" w:themeTint="80"/>
      <w:szCs w:val="22"/>
      <w:lang w:eastAsia="zh-CN"/>
      <w14:textFill>
        <w14:solidFill>
          <w14:schemeClr w14:val="tx1">
            <w14:lumMod w14:val="50000"/>
            <w14:lumOff w14:val="50000"/>
          </w14:schemeClr>
        </w14:solidFill>
      </w14:textFill>
    </w:rPr>
  </w:style>
  <w:style w:type="table" w:customStyle="1" w:styleId="311">
    <w:name w:val="Calendar 1"/>
    <w:basedOn w:val="39"/>
    <w:qFormat/>
    <w:uiPriority w:val="99"/>
    <w:rPr>
      <w:sz w:val="22"/>
    </w:rPr>
    <w:tblPr>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cPr>
        <w:vAlign w:val="bottom"/>
      </w:tcPr>
    </w:tblStylePr>
    <w:tblStylePr w:type="lastRow">
      <w:tcPr>
        <w:tcBorders>
          <w:top w:val="nil"/>
          <w:left w:val="nil"/>
          <w:bottom w:val="nil"/>
          <w:right w:val="nil"/>
          <w:insideH w:val="nil"/>
          <w:insideV w:val="nil"/>
          <w:tl2br w:val="nil"/>
          <w:tr2bl w:val="nil"/>
        </w:tcBorders>
        <w:shd w:val="clear" w:color="auto" w:fill="auto"/>
      </w:tcPr>
    </w:tblStyle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color="000000" w:themeColor="text1" w:sz="24" w:space="0"/>
          <w:left w:val="nil"/>
          <w:bottom w:val="single" w:color="000000" w:themeColor="text1" w:sz="24" w:space="0"/>
          <w:right w:val="nil"/>
          <w:insideH w:val="nil"/>
          <w:insideV w:val="nil"/>
          <w:tl2br w:val="nil"/>
          <w:tr2bl w:val="nil"/>
        </w:tcBorders>
        <w:shd w:val="clear" w:color="auto" w:fill="auto"/>
      </w:tcPr>
    </w:tblStylePr>
  </w:style>
  <w:style w:type="table" w:customStyle="1" w:styleId="312">
    <w:name w:val="Calendar 2"/>
    <w:basedOn w:val="39"/>
    <w:qFormat/>
    <w:uiPriority w:val="99"/>
    <w:pPr>
      <w:jc w:val="center"/>
    </w:pPr>
    <w:rPr>
      <w:sz w:val="28"/>
      <w:szCs w:val="28"/>
    </w:rPr>
    <w:tblPr>
      <w:tblBorders>
        <w:insideV w:val="single" w:color="95B3D7" w:themeColor="accent1" w:themeTint="99" w:sz="4" w:space="0"/>
      </w:tblBorders>
      <w:tblCellMar>
        <w:top w:w="0" w:type="dxa"/>
        <w:left w:w="108" w:type="dxa"/>
        <w:bottom w:w="0" w:type="dxa"/>
        <w:right w:w="108" w:type="dxa"/>
      </w:tblCellMar>
    </w:tblPr>
    <w:tblStylePr w:type="firstRow">
      <w:rPr>
        <w:rFonts w:asciiTheme="majorHAnsi" w:hAnsiTheme="majorHAnsi" w:eastAsiaTheme="majorEastAsia" w:cstheme="majorBidi"/>
        <w:caps/>
        <w:color w:val="4F81BD" w:themeColor="accent1"/>
        <w:spacing w:val="20"/>
        <w:sz w:val="32"/>
        <w:szCs w:val="32"/>
        <w14:textFill>
          <w14:solidFill>
            <w14:schemeClr w14:val="accent1"/>
          </w14:solidFill>
        </w14:textFill>
      </w:rPr>
      <w:tcPr>
        <w:tcBorders>
          <w:top w:val="nil"/>
          <w:left w:val="nil"/>
          <w:bottom w:val="nil"/>
          <w:right w:val="nil"/>
          <w:insideH w:val="nil"/>
          <w:insideV w:val="nil"/>
          <w:tl2br w:val="nil"/>
          <w:tr2bl w:val="nil"/>
        </w:tcBorders>
      </w:tcPr>
    </w:tblStylePr>
  </w:style>
  <w:style w:type="table" w:customStyle="1" w:styleId="313">
    <w:name w:val="Calendar 3"/>
    <w:basedOn w:val="39"/>
    <w:qFormat/>
    <w:uiPriority w:val="99"/>
    <w:pPr>
      <w:jc w:val="right"/>
    </w:pPr>
    <w:rPr>
      <w:rFonts w:asciiTheme="majorHAnsi" w:hAnsiTheme="majorHAnsi" w:eastAsiaTheme="majorEastAsia" w:cstheme="majorBidi"/>
      <w:color w:val="808080" w:themeColor="text1" w:themeTint="80"/>
      <w:sz w:val="22"/>
      <w14:textFill>
        <w14:solidFill>
          <w14:schemeClr w14:val="tx1">
            <w14:lumMod w14:val="50000"/>
            <w14:lumOff w14:val="50000"/>
          </w14:schemeClr>
        </w14:solidFill>
      </w14:textFill>
    </w:rPr>
    <w:tblPr>
      <w:tblCellMar>
        <w:top w:w="0" w:type="dxa"/>
        <w:left w:w="108" w:type="dxa"/>
        <w:bottom w:w="0" w:type="dxa"/>
        <w:right w:w="108" w:type="dxa"/>
      </w:tblCellMar>
    </w:tblPr>
    <w:tblStylePr w:type="firstRow">
      <w:pPr>
        <w:wordWrap/>
        <w:jc w:val="right"/>
      </w:pPr>
      <w:rPr>
        <w:color w:val="4F81BD" w:themeColor="accent1"/>
        <w:sz w:val="44"/>
        <w:szCs w:val="44"/>
        <w14:textFill>
          <w14:solidFill>
            <w14:schemeClr w14:val="accent1"/>
          </w14:solidFill>
        </w14:textFill>
      </w:rPr>
    </w:tblStylePr>
    <w:tblStylePr w:type="firstCol">
      <w:rPr>
        <w:color w:val="4F81BD" w:themeColor="accent1"/>
        <w14:textFill>
          <w14:solidFill>
            <w14:schemeClr w14:val="accent1"/>
          </w14:solidFill>
        </w14:textFill>
      </w:rPr>
    </w:tblStylePr>
    <w:tblStylePr w:type="lastCol">
      <w:rPr>
        <w:color w:val="4F81BD" w:themeColor="accent1"/>
        <w14:textFill>
          <w14:solidFill>
            <w14:schemeClr w14:val="accent1"/>
          </w14:solidFill>
        </w14:textFill>
      </w:rPr>
    </w:tblStylePr>
  </w:style>
  <w:style w:type="table" w:customStyle="1" w:styleId="314">
    <w:name w:val="Calendar 4"/>
    <w:basedOn w:val="39"/>
    <w:qFormat/>
    <w:uiPriority w:val="99"/>
    <w:pPr>
      <w:snapToGrid w:val="0"/>
    </w:pPr>
    <w:rPr>
      <w:b/>
      <w:bCs/>
      <w:color w:val="D9D9D9" w:themeColor="background1" w:themeShade="D9"/>
      <w:sz w:val="16"/>
      <w:szCs w:val="16"/>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144" w:rightChars="0"/>
        <w:jc w:val="right"/>
      </w:pPr>
      <w:rPr>
        <w:sz w:val="72"/>
        <w:szCs w:val="72"/>
      </w:rPr>
    </w:tblStylePr>
    <w:tblStylePr w:type="band2Horz">
      <w:rPr>
        <w:sz w:val="40"/>
        <w:szCs w:val="40"/>
      </w:rPr>
      <w:tcPr>
        <w:tcMar>
          <w:top w:w="0" w:type="dxa"/>
          <w:left w:w="115" w:type="dxa"/>
          <w:bottom w:w="86" w:type="dxa"/>
          <w:right w:w="115" w:type="dxa"/>
        </w:tcMar>
      </w:tcPr>
    </w:tblStylePr>
    <w:tblStylePr w:type="nwCell">
      <w:rPr>
        <w:sz w:val="8"/>
        <w:szCs w:val="8"/>
      </w:rPr>
    </w:tblStylePr>
  </w:style>
  <w:style w:type="paragraph" w:customStyle="1" w:styleId="315">
    <w:name w:val="81B5AAB6D0544DFFAF4FA991E3BEF7C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6">
    <w:name w:val="传统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17">
    <w:name w:val="0DFA8E09378C41C59E9A71A8860A0FF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8">
    <w:name w:val="传统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19">
    <w:name w:val="D3B02937B54643828094EE9D9614300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0">
    <w:name w:val="边线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21">
    <w:name w:val="6F9850466F18412297DE498C957B45A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2">
    <w:name w:val="边线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23">
    <w:name w:val="DA59A6CAE2824551B38656031F9960C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4">
    <w:name w:val="堆积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25">
    <w:name w:val="D0B5488AF8804E26A126DE76DAA299C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6">
    <w:name w:val="堆积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27">
    <w:name w:val="EF43E22DD61A4D6E8A7E532DDBDE455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8">
    <w:name w:val="朴素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29">
    <w:name w:val="02FE50D714E946A2A9D9C11DE4E31FC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0">
    <w:name w:val="朴素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31">
    <w:name w:val="4E50BD63080D459694A857BC8DE30C8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2">
    <w:name w:val="字母表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33">
    <w:name w:val="0241A437DA964FFDB9B72CCEC855621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4">
    <w:name w:val="字母表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35">
    <w:name w:val="1056BD8269EE48329AF20ABBE184447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6">
    <w:name w:val="年刊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37">
    <w:name w:val="BEE5C33DA96C44389D4492D94A30715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8">
    <w:name w:val="年刊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39">
    <w:name w:val="13BBC7BD188544959747F663A4DB00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0">
    <w:name w:val="小室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41">
    <w:name w:val="935E2A537DCE49B8AD8ED391FD10609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2">
    <w:name w:val="小室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43">
    <w:name w:val="876A4DAF3A15425EBE20248D69D8BF1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4">
    <w:name w:val="现代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45">
    <w:name w:val="C464C8F333C24A938AF5B37CB2ECDE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6">
    <w:name w:val="现代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47">
    <w:name w:val="F475992E39B443E996AA1110866F947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8">
    <w:name w:val="条纹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49">
    <w:name w:val="5106A63E679744B080A6140FB58E533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0">
    <w:name w:val="条纹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51">
    <w:name w:val="61573B9D35344BC38A34B363F722450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2">
    <w:name w:val="飞越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53">
    <w:name w:val="334F007B061B40F5B34BF53EA81D4DF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4">
    <w:name w:val="飞越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55">
    <w:name w:val="56FCE7B85D474C02B90F27F3D412874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6">
    <w:name w:val="照射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57">
    <w:name w:val="5126D313ECA4476C93F1C2469D0EBFB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8">
    <w:name w:val="照射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59">
    <w:name w:val="93CF1563D01B43AE825F0AC11E58902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60">
    <w:name w:val="拼板型引用"/>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1">
    <w:name w:val="ADEA439B83F8472CA6ABF55F2B08B6B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62">
    <w:name w:val="拼板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3">
    <w:name w:val="C3909C52B5554BCE805B67B877AF504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64">
    <w:name w:val="运动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5">
    <w:name w:val="AB0B5F92FC8444749C3DD7FB18A5623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66">
    <w:name w:val="运动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7">
    <w:name w:val="ED7E45D1AF844063ACA02B4F13DC9A9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68">
    <w:name w:val="瓷砖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9">
    <w:name w:val="01F6CBE5685C4E379059423704C3BD4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70">
    <w:name w:val="瓷砖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1">
    <w:name w:val="6BEF5B3F69AD4129BF4AE8403C8E9D7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72">
    <w:name w:val="反差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3">
    <w:name w:val="2634D601967942078B70AA840901A4B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74">
    <w:name w:val="反差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5">
    <w:name w:val="8E94D89665804014884A58F68A20373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76">
    <w:name w:val="装饰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7">
    <w:name w:val="848E66A30929422A979D594A4A0BF9A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78">
    <w:name w:val="星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9">
    <w:name w:val="F838DBFCE8FA4C7482163554D764B80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80">
    <w:name w:val="粘滞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81">
    <w:name w:val="A13A6801ED9F49D4AB5FFEBD625F6A7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82">
    <w:name w:val="大括号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83">
    <w:name w:val="3E15E750D0C948E198317ED7C58541F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84">
    <w:name w:val="大括号型引述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85">
    <w:name w:val="624846ABD3BB4BAF8C6F58706F6F514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86">
    <w:name w:val="简单文本框"/>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8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388">
    <w:name w:val="C5068D548FC14AB8966342242235C60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89">
    <w:name w:val="78DD254F5AD54C338FFF863BA31841F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90">
    <w:name w:val="9E12CA9948014EE3A807559100356CE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91">
    <w:name w:val="0445C6BC871B44A994A7F08507970B3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92">
    <w:name w:val="F1F24AA20A104E81888B2B56C39F687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93">
    <w:name w:val="F7BCDCDDA8384CDE8CCE71E7B699A57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94">
    <w:name w:val="尽快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95">
    <w:name w:val="尽快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96">
    <w:name w:val="机密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97">
    <w:name w:val="机密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98">
    <w:name w:val="严禁复制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99">
    <w:name w:val="严禁复制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0">
    <w:name w:val="草稿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1">
    <w:name w:val="草稿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2">
    <w:name w:val="样本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3">
    <w:name w:val="样本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4">
    <w:name w:val="紧急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5">
    <w:name w:val="紧急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character" w:customStyle="1" w:styleId="406">
    <w:name w:val="标题 Char"/>
    <w:link w:val="37"/>
    <w:qFormat/>
    <w:uiPriority w:val="0"/>
    <w:rPr>
      <w:rFonts w:ascii="Arial" w:hAnsi="Arial" w:eastAsia="宋体"/>
      <w:b/>
      <w:sz w:val="32"/>
    </w:rPr>
  </w:style>
  <w:style w:type="character" w:customStyle="1" w:styleId="407">
    <w:name w:val="已访问的超链接1"/>
    <w:qFormat/>
    <w:uiPriority w:val="99"/>
    <w:rPr>
      <w:color w:val="800080"/>
      <w:u w:val="single"/>
    </w:rPr>
  </w:style>
  <w:style w:type="character" w:customStyle="1" w:styleId="408">
    <w:name w:val="批注文字 Char"/>
    <w:link w:val="13"/>
    <w:qFormat/>
    <w:uiPriority w:val="0"/>
    <w:rPr>
      <w:rFonts w:eastAsia="宋体"/>
      <w:szCs w:val="24"/>
    </w:rPr>
  </w:style>
  <w:style w:type="character" w:customStyle="1" w:styleId="409">
    <w:name w:val="Char Char7"/>
    <w:qFormat/>
    <w:uiPriority w:val="0"/>
    <w:rPr>
      <w:rFonts w:ascii="Arial" w:hAnsi="Arial" w:eastAsia="黑体"/>
      <w:b/>
      <w:bCs/>
      <w:kern w:val="2"/>
      <w:sz w:val="32"/>
      <w:szCs w:val="32"/>
      <w:lang w:val="en-US" w:eastAsia="zh-CN" w:bidi="ar-SA"/>
    </w:rPr>
  </w:style>
  <w:style w:type="character" w:customStyle="1" w:styleId="410">
    <w:name w:val="Char Char2"/>
    <w:qFormat/>
    <w:uiPriority w:val="0"/>
    <w:rPr>
      <w:rFonts w:eastAsia="宋体"/>
      <w:kern w:val="2"/>
      <w:sz w:val="21"/>
      <w:szCs w:val="24"/>
      <w:lang w:val="en-US" w:eastAsia="zh-CN" w:bidi="ar-SA"/>
    </w:rPr>
  </w:style>
  <w:style w:type="character" w:customStyle="1" w:styleId="411">
    <w:name w:val="纯文本 Char"/>
    <w:link w:val="19"/>
    <w:qFormat/>
    <w:uiPriority w:val="0"/>
    <w:rPr>
      <w:rFonts w:ascii="Courier New" w:hAnsi="Courier New" w:eastAsia="宋体"/>
    </w:rPr>
  </w:style>
  <w:style w:type="character" w:customStyle="1" w:styleId="412">
    <w:name w:val="Char Char8"/>
    <w:qFormat/>
    <w:uiPriority w:val="0"/>
    <w:rPr>
      <w:rFonts w:ascii="Arial" w:hAnsi="Arial" w:eastAsia="黑体"/>
      <w:b/>
      <w:bCs/>
      <w:kern w:val="2"/>
      <w:sz w:val="32"/>
      <w:szCs w:val="32"/>
      <w:lang w:val="en-US" w:eastAsia="zh-CN" w:bidi="ar-SA"/>
    </w:rPr>
  </w:style>
  <w:style w:type="character" w:customStyle="1" w:styleId="413">
    <w:name w:val="font161"/>
    <w:qFormat/>
    <w:uiPriority w:val="0"/>
    <w:rPr>
      <w:b/>
      <w:bCs/>
      <w:sz w:val="32"/>
      <w:szCs w:val="32"/>
    </w:rPr>
  </w:style>
  <w:style w:type="paragraph" w:customStyle="1" w:styleId="414">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8"/>
      <w:szCs w:val="18"/>
    </w:rPr>
  </w:style>
  <w:style w:type="character" w:customStyle="1" w:styleId="415">
    <w:name w:val="标题 Char1"/>
    <w:basedOn w:val="44"/>
    <w:qFormat/>
    <w:uiPriority w:val="10"/>
    <w:rPr>
      <w:rFonts w:eastAsia="宋体" w:asciiTheme="majorHAnsi" w:hAnsiTheme="majorHAnsi" w:cstheme="majorBidi"/>
      <w:b/>
      <w:bCs/>
      <w:sz w:val="32"/>
      <w:szCs w:val="32"/>
    </w:rPr>
  </w:style>
  <w:style w:type="paragraph" w:customStyle="1" w:styleId="416">
    <w:name w:val="xl67"/>
    <w:basedOn w:val="1"/>
    <w:qFormat/>
    <w:uiPriority w:val="0"/>
    <w:pPr>
      <w:widowControl/>
      <w:pBdr>
        <w:bottom w:val="single" w:color="000000"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41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18">
    <w:name w:val="xl77"/>
    <w:basedOn w:val="1"/>
    <w:qFormat/>
    <w:uiPriority w:val="0"/>
    <w:pPr>
      <w:widowControl/>
      <w:pBdr>
        <w:bottom w:val="single" w:color="000000" w:sz="4" w:space="0"/>
      </w:pBdr>
      <w:spacing w:before="100" w:beforeAutospacing="1" w:after="100" w:afterAutospacing="1"/>
      <w:jc w:val="right"/>
      <w:textAlignment w:val="center"/>
    </w:pPr>
    <w:rPr>
      <w:rFonts w:ascii="宋体" w:hAnsi="宋体" w:eastAsia="宋体" w:cs="宋体"/>
      <w:kern w:val="0"/>
      <w:sz w:val="18"/>
      <w:szCs w:val="18"/>
    </w:rPr>
  </w:style>
  <w:style w:type="paragraph" w:customStyle="1" w:styleId="419">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eastAsia="黑体" w:cs="宋体"/>
      <w:b w:val="0"/>
      <w:bCs w:val="0"/>
      <w:sz w:val="28"/>
      <w:szCs w:val="20"/>
    </w:rPr>
  </w:style>
  <w:style w:type="paragraph" w:customStyle="1" w:styleId="42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18"/>
      <w:szCs w:val="18"/>
    </w:rPr>
  </w:style>
  <w:style w:type="character" w:customStyle="1" w:styleId="421">
    <w:name w:val="批注文字 Char1"/>
    <w:basedOn w:val="44"/>
    <w:semiHidden/>
    <w:qFormat/>
    <w:uiPriority w:val="99"/>
  </w:style>
  <w:style w:type="character" w:customStyle="1" w:styleId="422">
    <w:name w:val="批注主题 Char"/>
    <w:basedOn w:val="421"/>
    <w:link w:val="38"/>
    <w:qFormat/>
    <w:uiPriority w:val="0"/>
    <w:rPr>
      <w:rFonts w:eastAsia="宋体"/>
      <w:b/>
      <w:bCs/>
      <w:szCs w:val="24"/>
    </w:rPr>
  </w:style>
  <w:style w:type="paragraph" w:customStyle="1" w:styleId="423">
    <w:name w:val="xl74"/>
    <w:basedOn w:val="1"/>
    <w:qFormat/>
    <w:uiPriority w:val="0"/>
    <w:pPr>
      <w:widowControl/>
      <w:spacing w:before="100" w:beforeAutospacing="1" w:after="100" w:afterAutospacing="1"/>
      <w:jc w:val="left"/>
      <w:textAlignment w:val="center"/>
    </w:pPr>
    <w:rPr>
      <w:rFonts w:ascii="宋体" w:hAnsi="宋体" w:eastAsia="宋体" w:cs="宋体"/>
      <w:kern w:val="0"/>
      <w:sz w:val="22"/>
    </w:rPr>
  </w:style>
  <w:style w:type="paragraph" w:customStyle="1" w:styleId="424">
    <w:name w:val="Char"/>
    <w:basedOn w:val="1"/>
    <w:qFormat/>
    <w:uiPriority w:val="0"/>
    <w:pPr>
      <w:tabs>
        <w:tab w:val="left" w:pos="360"/>
      </w:tabs>
    </w:pPr>
    <w:rPr>
      <w:rFonts w:ascii="Times New Roman" w:hAnsi="Times New Roman" w:eastAsia="宋体" w:cs="Times New Roman"/>
      <w:sz w:val="24"/>
      <w:szCs w:val="24"/>
    </w:rPr>
  </w:style>
  <w:style w:type="paragraph" w:customStyle="1" w:styleId="425">
    <w:name w:val="xl80"/>
    <w:basedOn w:val="1"/>
    <w:qFormat/>
    <w:uiPriority w:val="0"/>
    <w:pPr>
      <w:widowControl/>
      <w:pBdr>
        <w:top w:val="single" w:color="000000"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426">
    <w:name w:val="正文文本 3 Char"/>
    <w:basedOn w:val="44"/>
    <w:link w:val="14"/>
    <w:qFormat/>
    <w:uiPriority w:val="99"/>
    <w:rPr>
      <w:rFonts w:ascii="宋体" w:hAnsi="Times New Roman" w:eastAsia="宋体" w:cs="Times New Roman"/>
      <w:sz w:val="24"/>
      <w:szCs w:val="20"/>
    </w:rPr>
  </w:style>
  <w:style w:type="character" w:customStyle="1" w:styleId="427">
    <w:name w:val="纯文本 Char1"/>
    <w:basedOn w:val="44"/>
    <w:qFormat/>
    <w:uiPriority w:val="0"/>
    <w:rPr>
      <w:rFonts w:ascii="宋体" w:hAnsi="Courier New" w:eastAsia="宋体" w:cs="Courier New"/>
      <w:szCs w:val="21"/>
    </w:rPr>
  </w:style>
  <w:style w:type="character" w:customStyle="1" w:styleId="428">
    <w:name w:val="正文文本 Char"/>
    <w:basedOn w:val="44"/>
    <w:link w:val="15"/>
    <w:qFormat/>
    <w:uiPriority w:val="1"/>
    <w:rPr>
      <w:rFonts w:ascii="Times New Roman" w:hAnsi="Times New Roman" w:eastAsia="宋体" w:cs="Times New Roman"/>
      <w:szCs w:val="24"/>
    </w:rPr>
  </w:style>
  <w:style w:type="character" w:customStyle="1" w:styleId="429">
    <w:name w:val="正文文本缩进 Char"/>
    <w:basedOn w:val="44"/>
    <w:link w:val="16"/>
    <w:qFormat/>
    <w:uiPriority w:val="0"/>
    <w:rPr>
      <w:rFonts w:ascii="Times New Roman" w:hAnsi="Times New Roman" w:eastAsia="宋体" w:cs="Times New Roman"/>
      <w:szCs w:val="24"/>
    </w:rPr>
  </w:style>
  <w:style w:type="paragraph" w:customStyle="1" w:styleId="430">
    <w:name w:val="xl73"/>
    <w:basedOn w:val="1"/>
    <w:qFormat/>
    <w:uiPriority w:val="0"/>
    <w:pPr>
      <w:widowControl/>
      <w:pBdr>
        <w:top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431">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character" w:customStyle="1" w:styleId="432">
    <w:name w:val="日期 Char"/>
    <w:basedOn w:val="44"/>
    <w:link w:val="21"/>
    <w:qFormat/>
    <w:uiPriority w:val="0"/>
    <w:rPr>
      <w:rFonts w:ascii="Times New Roman" w:hAnsi="Times New Roman" w:eastAsia="宋体" w:cs="Times New Roman"/>
      <w:sz w:val="24"/>
      <w:szCs w:val="20"/>
    </w:rPr>
  </w:style>
  <w:style w:type="paragraph" w:customStyle="1" w:styleId="433">
    <w:name w:val="xl78"/>
    <w:basedOn w:val="1"/>
    <w:qFormat/>
    <w:uiPriority w:val="0"/>
    <w:pPr>
      <w:widowControl/>
      <w:pBdr>
        <w:top w:val="single" w:color="000000"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434">
    <w:name w:val="xl79"/>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435">
    <w:name w:val="样式2"/>
    <w:basedOn w:val="4"/>
    <w:qFormat/>
    <w:uiPriority w:val="0"/>
  </w:style>
  <w:style w:type="character" w:customStyle="1" w:styleId="436">
    <w:name w:val="正文文本缩进 3 Char"/>
    <w:basedOn w:val="44"/>
    <w:link w:val="31"/>
    <w:qFormat/>
    <w:uiPriority w:val="0"/>
    <w:rPr>
      <w:rFonts w:ascii="Times New Roman" w:hAnsi="Times New Roman" w:eastAsia="宋体" w:cs="Times New Roman"/>
      <w:sz w:val="16"/>
      <w:szCs w:val="16"/>
    </w:rPr>
  </w:style>
  <w:style w:type="paragraph" w:customStyle="1" w:styleId="43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38">
    <w:name w:val="样式 标题 3 + 居中"/>
    <w:basedOn w:val="4"/>
    <w:qFormat/>
    <w:uiPriority w:val="0"/>
    <w:pPr>
      <w:ind w:firstLine="275" w:firstLineChars="98"/>
      <w:jc w:val="center"/>
    </w:pPr>
    <w:rPr>
      <w:rFonts w:cs="宋体"/>
      <w:szCs w:val="20"/>
    </w:rPr>
  </w:style>
  <w:style w:type="paragraph" w:customStyle="1" w:styleId="439">
    <w:name w:val="样式4"/>
    <w:basedOn w:val="4"/>
    <w:qFormat/>
    <w:uiPriority w:val="0"/>
    <w:rPr>
      <w:rFonts w:eastAsia="Arial"/>
    </w:rPr>
  </w:style>
  <w:style w:type="paragraph" w:customStyle="1" w:styleId="44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4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42">
    <w:name w:val="表格"/>
    <w:basedOn w:val="1"/>
    <w:qFormat/>
    <w:uiPriority w:val="0"/>
    <w:pPr>
      <w:jc w:val="center"/>
      <w:textAlignment w:val="center"/>
    </w:pPr>
    <w:rPr>
      <w:rFonts w:ascii="华文细黑" w:hAnsi="华文细黑" w:eastAsia="宋体" w:cs="Times New Roman"/>
      <w:kern w:val="0"/>
      <w:szCs w:val="20"/>
    </w:rPr>
  </w:style>
  <w:style w:type="paragraph" w:customStyle="1" w:styleId="443">
    <w:name w:val="样式 标题 1 + 黑体 三号 非加粗 居中 段前: 6 磅 段后: 6 磅 行距: 固定值 20 磅"/>
    <w:basedOn w:val="2"/>
    <w:qFormat/>
    <w:uiPriority w:val="0"/>
    <w:pPr>
      <w:spacing w:before="120" w:after="120"/>
    </w:pPr>
    <w:rPr>
      <w:rFonts w:ascii="黑体" w:hAnsi="黑体" w:eastAsia="黑体" w:cs="宋体"/>
      <w:b w:val="0"/>
      <w:bCs w:val="0"/>
      <w:sz w:val="32"/>
      <w:szCs w:val="20"/>
    </w:rPr>
  </w:style>
  <w:style w:type="paragraph" w:customStyle="1" w:styleId="444">
    <w:name w:val="样式1"/>
    <w:basedOn w:val="4"/>
    <w:qFormat/>
    <w:uiPriority w:val="0"/>
    <w:rPr>
      <w:rFonts w:eastAsia="Arial"/>
    </w:rPr>
  </w:style>
  <w:style w:type="paragraph" w:customStyle="1" w:styleId="445">
    <w:name w:val="xl81"/>
    <w:basedOn w:val="1"/>
    <w:qFormat/>
    <w:uiPriority w:val="0"/>
    <w:pPr>
      <w:widowControl/>
      <w:pBdr>
        <w:top w:val="single" w:color="000000"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446">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447">
    <w:name w:val="xl66"/>
    <w:basedOn w:val="1"/>
    <w:qFormat/>
    <w:uiPriority w:val="0"/>
    <w:pPr>
      <w:widowControl/>
      <w:spacing w:before="100" w:beforeAutospacing="1" w:after="100" w:afterAutospacing="1"/>
      <w:jc w:val="left"/>
      <w:textAlignment w:val="center"/>
    </w:pPr>
    <w:rPr>
      <w:rFonts w:ascii="宋体" w:hAnsi="宋体" w:eastAsia="宋体" w:cs="宋体"/>
      <w:b/>
      <w:bCs/>
      <w:kern w:val="0"/>
      <w:sz w:val="18"/>
      <w:szCs w:val="18"/>
    </w:rPr>
  </w:style>
  <w:style w:type="paragraph" w:customStyle="1" w:styleId="448">
    <w:name w:val="标题2"/>
    <w:basedOn w:val="1"/>
    <w:qFormat/>
    <w:uiPriority w:val="0"/>
    <w:pPr>
      <w:jc w:val="center"/>
      <w:outlineLvl w:val="1"/>
    </w:pPr>
    <w:rPr>
      <w:rFonts w:ascii="Times New Roman" w:hAnsi="Times New Roman" w:eastAsia="宋体" w:cs="Times New Roman"/>
      <w:b/>
      <w:sz w:val="28"/>
      <w:szCs w:val="28"/>
    </w:rPr>
  </w:style>
  <w:style w:type="paragraph" w:customStyle="1" w:styleId="449">
    <w:name w:val="样式3"/>
    <w:basedOn w:val="4"/>
    <w:qFormat/>
    <w:uiPriority w:val="0"/>
    <w:rPr>
      <w:rFonts w:eastAsia="Arial"/>
    </w:rPr>
  </w:style>
  <w:style w:type="paragraph" w:customStyle="1" w:styleId="450">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1">
    <w:name w:val="xl76"/>
    <w:basedOn w:val="1"/>
    <w:qFormat/>
    <w:uiPriority w:val="0"/>
    <w:pPr>
      <w:widowControl/>
      <w:spacing w:before="100" w:beforeAutospacing="1" w:after="100" w:afterAutospacing="1"/>
      <w:jc w:val="center"/>
      <w:textAlignment w:val="center"/>
    </w:pPr>
    <w:rPr>
      <w:rFonts w:ascii="黑体" w:hAnsi="宋体" w:eastAsia="黑体" w:cs="宋体"/>
      <w:kern w:val="0"/>
      <w:sz w:val="40"/>
      <w:szCs w:val="40"/>
    </w:rPr>
  </w:style>
  <w:style w:type="paragraph" w:customStyle="1" w:styleId="452">
    <w:name w:val="1"/>
    <w:basedOn w:val="1"/>
    <w:next w:val="1"/>
    <w:qFormat/>
    <w:uiPriority w:val="0"/>
    <w:rPr>
      <w:rFonts w:ascii="Times New Roman" w:hAnsi="Times New Roman" w:eastAsia="宋体" w:cs="Times New Roman"/>
      <w:szCs w:val="24"/>
    </w:rPr>
  </w:style>
  <w:style w:type="paragraph" w:customStyle="1" w:styleId="453">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table" w:customStyle="1" w:styleId="454">
    <w:name w:val="网格型1"/>
    <w:basedOn w:val="39"/>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5">
    <w:name w:val="网格型2"/>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6">
    <w:name w:val="aspan1"/>
    <w:basedOn w:val="44"/>
    <w:autoRedefine/>
    <w:qFormat/>
    <w:uiPriority w:val="0"/>
    <w:rPr>
      <w:b/>
      <w:color w:val="FFFFFF"/>
      <w:bdr w:val="single" w:color="299BD7" w:sz="6" w:space="0"/>
      <w:shd w:val="clear" w:color="auto" w:fill="299BD7"/>
    </w:rPr>
  </w:style>
  <w:style w:type="character" w:customStyle="1" w:styleId="457">
    <w:name w:val="aspan"/>
    <w:basedOn w:val="44"/>
    <w:qFormat/>
    <w:uiPriority w:val="0"/>
    <w:rPr>
      <w:color w:val="299BD7"/>
      <w:bdr w:val="single" w:color="299BD7" w:sz="6" w:space="0"/>
      <w:shd w:val="clear" w:color="auto" w:fill="FFFFFF"/>
    </w:rPr>
  </w:style>
  <w:style w:type="character" w:customStyle="1" w:styleId="458">
    <w:name w:val="aspan2"/>
    <w:basedOn w:val="44"/>
    <w:qFormat/>
    <w:uiPriority w:val="0"/>
    <w:rPr>
      <w:color w:val="299BD7"/>
      <w:bdr w:val="single" w:color="299BD7" w:sz="6" w:space="0"/>
      <w:shd w:val="clear" w:color="auto" w:fill="FFFFFF"/>
    </w:rPr>
  </w:style>
  <w:style w:type="character" w:customStyle="1" w:styleId="459">
    <w:name w:val="page_go"/>
    <w:basedOn w:val="44"/>
    <w:qFormat/>
    <w:uiPriority w:val="0"/>
    <w:rPr>
      <w:color w:val="299BD7"/>
      <w:bdr w:val="single" w:color="299BD7" w:sz="6" w:space="0"/>
    </w:rPr>
  </w:style>
  <w:style w:type="table" w:customStyle="1" w:styleId="460">
    <w:name w:val="网格型3"/>
    <w:basedOn w:val="3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1">
    <w:name w:val="网格型4"/>
    <w:basedOn w:val="3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2">
    <w:name w:val="网格型5"/>
    <w:basedOn w:val="3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3">
    <w:name w:val="网格型6"/>
    <w:basedOn w:val="3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4">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465">
    <w:name w:val="尾注文本 Char"/>
    <w:link w:val="23"/>
    <w:qFormat/>
    <w:uiPriority w:val="0"/>
    <w:rPr>
      <w:szCs w:val="24"/>
    </w:rPr>
  </w:style>
  <w:style w:type="character" w:customStyle="1" w:styleId="466">
    <w:name w:val="正文标题 Char Char"/>
    <w:link w:val="467"/>
    <w:qFormat/>
    <w:uiPriority w:val="0"/>
    <w:rPr>
      <w:rFonts w:ascii="黑体" w:eastAsia="黑体"/>
      <w:b/>
      <w:color w:val="FF0000"/>
      <w:sz w:val="30"/>
    </w:rPr>
  </w:style>
  <w:style w:type="paragraph" w:customStyle="1" w:styleId="467">
    <w:name w:val="正文标题"/>
    <w:basedOn w:val="468"/>
    <w:link w:val="466"/>
    <w:qFormat/>
    <w:uiPriority w:val="0"/>
    <w:pPr>
      <w:spacing w:beforeLines="50" w:afterLines="50"/>
      <w:ind w:firstLine="0" w:firstLineChars="0"/>
      <w:jc w:val="center"/>
    </w:pPr>
    <w:rPr>
      <w:rFonts w:ascii="黑体" w:eastAsia="黑体"/>
      <w:b/>
      <w:color w:val="FF0000"/>
      <w:sz w:val="30"/>
    </w:rPr>
  </w:style>
  <w:style w:type="paragraph" w:customStyle="1" w:styleId="468">
    <w:name w:val="正文一"/>
    <w:basedOn w:val="1"/>
    <w:link w:val="472"/>
    <w:qFormat/>
    <w:uiPriority w:val="0"/>
    <w:pPr>
      <w:overflowPunct w:val="0"/>
      <w:spacing w:line="400" w:lineRule="exact"/>
      <w:ind w:firstLine="480" w:firstLineChars="200"/>
    </w:pPr>
    <w:rPr>
      <w:kern w:val="0"/>
      <w:sz w:val="24"/>
      <w:szCs w:val="20"/>
    </w:rPr>
  </w:style>
  <w:style w:type="character" w:customStyle="1" w:styleId="469">
    <w:name w:val="apple-converted-space"/>
    <w:basedOn w:val="44"/>
    <w:qFormat/>
    <w:uiPriority w:val="0"/>
  </w:style>
  <w:style w:type="character" w:customStyle="1" w:styleId="470">
    <w:name w:val="666 Char Char"/>
    <w:link w:val="471"/>
    <w:qFormat/>
    <w:uiPriority w:val="0"/>
    <w:rPr>
      <w:sz w:val="24"/>
    </w:rPr>
  </w:style>
  <w:style w:type="paragraph" w:customStyle="1" w:styleId="471">
    <w:name w:val="666"/>
    <w:basedOn w:val="1"/>
    <w:link w:val="470"/>
    <w:qFormat/>
    <w:uiPriority w:val="0"/>
    <w:pPr>
      <w:overflowPunct w:val="0"/>
      <w:spacing w:line="400" w:lineRule="exact"/>
      <w:ind w:firstLine="480" w:firstLineChars="200"/>
    </w:pPr>
    <w:rPr>
      <w:kern w:val="0"/>
      <w:sz w:val="24"/>
      <w:szCs w:val="20"/>
    </w:rPr>
  </w:style>
  <w:style w:type="character" w:customStyle="1" w:styleId="472">
    <w:name w:val="正文一 Char Char"/>
    <w:link w:val="468"/>
    <w:qFormat/>
    <w:uiPriority w:val="0"/>
    <w:rPr>
      <w:sz w:val="24"/>
    </w:rPr>
  </w:style>
  <w:style w:type="character" w:customStyle="1" w:styleId="473">
    <w:name w:val="尾注文本 Char1"/>
    <w:semiHidden/>
    <w:qFormat/>
    <w:uiPriority w:val="99"/>
    <w:rPr>
      <w:kern w:val="2"/>
      <w:sz w:val="21"/>
      <w:szCs w:val="24"/>
      <w:lang w:bidi="ar-SA"/>
    </w:rPr>
  </w:style>
  <w:style w:type="character" w:customStyle="1" w:styleId="474">
    <w:name w:val="尾注文本 Char2"/>
    <w:basedOn w:val="44"/>
    <w:semiHidden/>
    <w:qFormat/>
    <w:uiPriority w:val="99"/>
    <w:rPr>
      <w:kern w:val="2"/>
      <w:sz w:val="21"/>
      <w:szCs w:val="22"/>
    </w:rPr>
  </w:style>
  <w:style w:type="character" w:customStyle="1" w:styleId="475">
    <w:name w:val="纯文本 Char2"/>
    <w:basedOn w:val="44"/>
    <w:semiHidden/>
    <w:qFormat/>
    <w:uiPriority w:val="99"/>
    <w:rPr>
      <w:rFonts w:ascii="宋体" w:hAnsi="Courier New" w:eastAsia="宋体" w:cs="Courier New"/>
      <w:szCs w:val="21"/>
    </w:rPr>
  </w:style>
  <w:style w:type="character" w:customStyle="1" w:styleId="476">
    <w:name w:val="文档结构图 Char1"/>
    <w:basedOn w:val="44"/>
    <w:semiHidden/>
    <w:qFormat/>
    <w:uiPriority w:val="99"/>
    <w:rPr>
      <w:rFonts w:ascii="宋体" w:hAnsi="Times New Roman" w:eastAsia="宋体" w:cs="Times New Roman"/>
      <w:sz w:val="18"/>
      <w:szCs w:val="18"/>
    </w:rPr>
  </w:style>
  <w:style w:type="character" w:customStyle="1" w:styleId="477">
    <w:name w:val="正文文本缩进 2 Char"/>
    <w:basedOn w:val="44"/>
    <w:link w:val="22"/>
    <w:qFormat/>
    <w:uiPriority w:val="0"/>
    <w:rPr>
      <w:rFonts w:ascii="Times New Roman" w:hAnsi="Times New Roman" w:eastAsia="宋体" w:cs="Times New Roman"/>
      <w:kern w:val="2"/>
      <w:sz w:val="21"/>
      <w:szCs w:val="24"/>
    </w:rPr>
  </w:style>
  <w:style w:type="character" w:customStyle="1" w:styleId="478">
    <w:name w:val="正文文本缩进 Char1"/>
    <w:basedOn w:val="44"/>
    <w:semiHidden/>
    <w:qFormat/>
    <w:uiPriority w:val="99"/>
    <w:rPr>
      <w:rFonts w:ascii="Times New Roman" w:hAnsi="Times New Roman" w:eastAsia="宋体" w:cs="Times New Roman"/>
      <w:szCs w:val="24"/>
    </w:rPr>
  </w:style>
  <w:style w:type="character" w:customStyle="1" w:styleId="479">
    <w:name w:val="正文文本 3 Char1"/>
    <w:basedOn w:val="44"/>
    <w:semiHidden/>
    <w:qFormat/>
    <w:uiPriority w:val="99"/>
    <w:rPr>
      <w:rFonts w:ascii="Times New Roman" w:hAnsi="Times New Roman" w:eastAsia="宋体" w:cs="Times New Roman"/>
      <w:sz w:val="16"/>
      <w:szCs w:val="16"/>
    </w:rPr>
  </w:style>
  <w:style w:type="paragraph" w:customStyle="1" w:styleId="480">
    <w:name w:val="表"/>
    <w:basedOn w:val="1"/>
    <w:qFormat/>
    <w:uiPriority w:val="0"/>
    <w:pPr>
      <w:adjustRightInd w:val="0"/>
      <w:spacing w:line="360" w:lineRule="atLeast"/>
      <w:ind w:hanging="18"/>
      <w:textAlignment w:val="baseline"/>
    </w:pPr>
    <w:rPr>
      <w:rFonts w:ascii="宋体" w:hAnsi="宋体" w:eastAsia="宋体" w:cs="Times New Roman"/>
      <w:snapToGrid w:val="0"/>
      <w:spacing w:val="-2"/>
      <w:kern w:val="0"/>
      <w:szCs w:val="21"/>
      <w:lang w:bidi="he-IL"/>
    </w:rPr>
  </w:style>
  <w:style w:type="paragraph" w:customStyle="1" w:styleId="481">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eastAsia="宋体" w:cs="Times New Roman"/>
      <w:kern w:val="0"/>
      <w:sz w:val="24"/>
      <w:szCs w:val="24"/>
    </w:rPr>
  </w:style>
  <w:style w:type="paragraph" w:customStyle="1" w:styleId="48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3">
    <w:name w:val="正文2"/>
    <w:basedOn w:val="1"/>
    <w:qFormat/>
    <w:uiPriority w:val="0"/>
    <w:pPr>
      <w:adjustRightInd w:val="0"/>
      <w:spacing w:line="420" w:lineRule="atLeast"/>
      <w:textAlignment w:val="baseline"/>
    </w:pPr>
    <w:rPr>
      <w:rFonts w:ascii="Times New Roman" w:hAnsi="Times New Roman" w:eastAsia="宋体" w:cs="Times New Roman"/>
      <w:kern w:val="0"/>
      <w:szCs w:val="20"/>
    </w:rPr>
  </w:style>
  <w:style w:type="paragraph" w:customStyle="1" w:styleId="484">
    <w:name w:val="p0"/>
    <w:basedOn w:val="1"/>
    <w:qFormat/>
    <w:uiPriority w:val="0"/>
    <w:pPr>
      <w:widowControl/>
    </w:pPr>
    <w:rPr>
      <w:rFonts w:ascii="Times New Roman" w:hAnsi="Times New Roman" w:eastAsia="宋体" w:cs="Times New Roman"/>
      <w:kern w:val="0"/>
      <w:szCs w:val="21"/>
    </w:rPr>
  </w:style>
  <w:style w:type="paragraph" w:customStyle="1" w:styleId="485">
    <w:name w:val="标题 61"/>
    <w:basedOn w:val="1"/>
    <w:qFormat/>
    <w:uiPriority w:val="1"/>
    <w:pPr>
      <w:jc w:val="left"/>
      <w:outlineLvl w:val="6"/>
    </w:pPr>
    <w:rPr>
      <w:rFonts w:ascii="宋体" w:hAnsi="宋体" w:eastAsia="宋体" w:cs="Times New Roman"/>
      <w:kern w:val="0"/>
      <w:sz w:val="42"/>
      <w:szCs w:val="42"/>
      <w:lang w:eastAsia="en-US"/>
    </w:rPr>
  </w:style>
  <w:style w:type="paragraph" w:customStyle="1" w:styleId="486">
    <w:name w:val="表1"/>
    <w:basedOn w:val="1"/>
    <w:qFormat/>
    <w:uiPriority w:val="0"/>
    <w:pPr>
      <w:overflowPunct w:val="0"/>
      <w:autoSpaceDE w:val="0"/>
      <w:autoSpaceDN w:val="0"/>
      <w:adjustRightInd w:val="0"/>
      <w:spacing w:before="200" w:line="320" w:lineRule="atLeast"/>
      <w:ind w:left="636" w:hanging="210"/>
      <w:textAlignment w:val="baseline"/>
    </w:pPr>
    <w:rPr>
      <w:rFonts w:ascii="Times New Roman" w:hAnsi="Times New Roman" w:eastAsia="宋体" w:cs="Times New Roman"/>
      <w:kern w:val="0"/>
      <w:sz w:val="24"/>
      <w:szCs w:val="20"/>
    </w:rPr>
  </w:style>
  <w:style w:type="table" w:customStyle="1" w:styleId="487">
    <w:name w:val="Table Normal"/>
    <w:unhideWhenUsed/>
    <w:qFormat/>
    <w:uiPriority w:val="2"/>
    <w:pPr>
      <w:widowControl w:val="0"/>
    </w:pPr>
    <w:rPr>
      <w:rFonts w:ascii="Calibri" w:hAnsi="Calibri" w:eastAsia="宋体" w:cs="Mongolian Baiti"/>
      <w:sz w:val="22"/>
      <w:szCs w:val="22"/>
      <w:lang w:eastAsia="en-US"/>
    </w:rPr>
    <w:tblPr>
      <w:tblCellMar>
        <w:top w:w="0" w:type="dxa"/>
        <w:left w:w="0" w:type="dxa"/>
        <w:bottom w:w="0" w:type="dxa"/>
        <w:right w:w="0" w:type="dxa"/>
      </w:tblCellMar>
    </w:tblPr>
  </w:style>
  <w:style w:type="character" w:customStyle="1" w:styleId="488">
    <w:name w:val="正文文本_"/>
    <w:basedOn w:val="44"/>
    <w:link w:val="489"/>
    <w:qFormat/>
    <w:uiPriority w:val="0"/>
    <w:rPr>
      <w:rFonts w:ascii="MingLiU" w:hAnsi="MingLiU" w:eastAsia="MingLiU" w:cs="MingLiU"/>
      <w:sz w:val="28"/>
      <w:szCs w:val="28"/>
      <w:shd w:val="clear" w:color="auto" w:fill="FFFFFF"/>
      <w:lang w:val="zh-CN" w:bidi="zh-CN"/>
    </w:rPr>
  </w:style>
  <w:style w:type="paragraph" w:customStyle="1" w:styleId="489">
    <w:name w:val="正文文本1"/>
    <w:basedOn w:val="1"/>
    <w:link w:val="488"/>
    <w:qFormat/>
    <w:uiPriority w:val="0"/>
    <w:pPr>
      <w:shd w:val="clear" w:color="auto" w:fill="FFFFFF"/>
      <w:spacing w:line="391" w:lineRule="auto"/>
      <w:ind w:firstLine="400"/>
      <w:jc w:val="left"/>
    </w:pPr>
    <w:rPr>
      <w:rFonts w:ascii="MingLiU" w:hAnsi="MingLiU" w:eastAsia="MingLiU" w:cs="MingLiU"/>
      <w:kern w:val="0"/>
      <w:sz w:val="28"/>
      <w:szCs w:val="28"/>
      <w:lang w:val="zh-CN" w:bidi="zh-CN"/>
    </w:rPr>
  </w:style>
  <w:style w:type="character" w:customStyle="1" w:styleId="490">
    <w:name w:val="正文文本 (3)_"/>
    <w:basedOn w:val="44"/>
    <w:link w:val="491"/>
    <w:qFormat/>
    <w:uiPriority w:val="0"/>
    <w:rPr>
      <w:rFonts w:ascii="宋体" w:hAnsi="宋体" w:eastAsia="宋体" w:cs="宋体"/>
      <w:b/>
      <w:bCs/>
      <w:sz w:val="36"/>
      <w:szCs w:val="36"/>
      <w:shd w:val="clear" w:color="auto" w:fill="FFFFFF"/>
      <w:lang w:val="zh-CN" w:bidi="zh-CN"/>
    </w:rPr>
  </w:style>
  <w:style w:type="paragraph" w:customStyle="1" w:styleId="491">
    <w:name w:val="正文文本 (3)"/>
    <w:basedOn w:val="1"/>
    <w:link w:val="490"/>
    <w:qFormat/>
    <w:uiPriority w:val="0"/>
    <w:pPr>
      <w:shd w:val="clear" w:color="auto" w:fill="FFFFFF"/>
      <w:spacing w:after="500"/>
      <w:jc w:val="center"/>
    </w:pPr>
    <w:rPr>
      <w:rFonts w:ascii="宋体" w:hAnsi="宋体" w:eastAsia="宋体" w:cs="宋体"/>
      <w:b/>
      <w:bCs/>
      <w:kern w:val="0"/>
      <w:sz w:val="36"/>
      <w:szCs w:val="36"/>
      <w:lang w:val="zh-CN" w:bidi="zh-CN"/>
    </w:rPr>
  </w:style>
  <w:style w:type="character" w:customStyle="1" w:styleId="492">
    <w:name w:val="正文文本 (2)_"/>
    <w:basedOn w:val="44"/>
    <w:link w:val="493"/>
    <w:qFormat/>
    <w:uiPriority w:val="0"/>
    <w:rPr>
      <w:rFonts w:ascii="宋体" w:hAnsi="宋体" w:eastAsia="宋体" w:cs="宋体"/>
      <w:sz w:val="18"/>
      <w:szCs w:val="18"/>
      <w:shd w:val="clear" w:color="auto" w:fill="FFFFFF"/>
      <w:lang w:val="zh-CN" w:bidi="zh-CN"/>
    </w:rPr>
  </w:style>
  <w:style w:type="paragraph" w:customStyle="1" w:styleId="493">
    <w:name w:val="正文文本 (2)"/>
    <w:basedOn w:val="1"/>
    <w:link w:val="492"/>
    <w:qFormat/>
    <w:uiPriority w:val="0"/>
    <w:pPr>
      <w:shd w:val="clear" w:color="auto" w:fill="FFFFFF"/>
      <w:spacing w:after="160"/>
      <w:jc w:val="left"/>
    </w:pPr>
    <w:rPr>
      <w:rFonts w:ascii="宋体" w:hAnsi="宋体" w:eastAsia="宋体" w:cs="宋体"/>
      <w:kern w:val="0"/>
      <w:sz w:val="18"/>
      <w:szCs w:val="18"/>
      <w:lang w:val="zh-CN" w:bidi="zh-CN"/>
    </w:rPr>
  </w:style>
  <w:style w:type="paragraph" w:customStyle="1" w:styleId="494">
    <w:name w:val="p15"/>
    <w:basedOn w:val="1"/>
    <w:qFormat/>
    <w:uiPriority w:val="0"/>
    <w:pPr>
      <w:widowControl/>
    </w:pPr>
    <w:rPr>
      <w:rFonts w:ascii="Times New Roman" w:hAnsi="Times New Roman" w:eastAsia="宋体" w:cs="Times New Roman"/>
      <w:kern w:val="0"/>
      <w:szCs w:val="21"/>
    </w:rPr>
  </w:style>
  <w:style w:type="paragraph" w:customStyle="1" w:styleId="495">
    <w:name w:val="纯文本1"/>
    <w:basedOn w:val="1"/>
    <w:qFormat/>
    <w:uiPriority w:val="0"/>
    <w:rPr>
      <w:rFonts w:ascii="宋体" w:hAnsi="Courier New" w:cs="Courier New"/>
      <w:szCs w:val="21"/>
    </w:rPr>
  </w:style>
  <w:style w:type="paragraph" w:customStyle="1" w:styleId="496">
    <w:name w:val="正文 New New"/>
    <w:qFormat/>
    <w:uiPriority w:val="0"/>
    <w:pPr>
      <w:widowControl w:val="0"/>
      <w:jc w:val="both"/>
    </w:pPr>
    <w:rPr>
      <w:rFonts w:ascii="Calibri" w:hAnsi="Calibri" w:eastAsia="宋体" w:cs="Times New Roman"/>
      <w:color w:val="000000"/>
      <w:kern w:val="1"/>
      <w:sz w:val="21"/>
      <w:szCs w:val="24"/>
      <w:lang w:val="en-US" w:eastAsia="zh-CN" w:bidi="ar-SA"/>
    </w:rPr>
  </w:style>
  <w:style w:type="paragraph" w:customStyle="1" w:styleId="49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148F4-D3C4-4F48-8074-5316100DEC2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15448</Words>
  <Characters>16438</Characters>
  <Lines>329</Lines>
  <Paragraphs>92</Paragraphs>
  <TotalTime>4</TotalTime>
  <ScaleCrop>false</ScaleCrop>
  <LinksUpToDate>false</LinksUpToDate>
  <CharactersWithSpaces>16675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2018-08-05T11:21:00Z</dcterms:created>
  <dc:creator>Administrator</dc:creator>
  <cp:lastModifiedBy>哄哄</cp:lastModifiedBy>
  <cp:lastPrinted>2025-03-14T01:54:00Z</cp:lastPrinted>
  <dcterms:modified xsi:type="dcterms:W3CDTF">2025-08-16T07:42:00Z</dcterms:modified>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141A6E9527BB45E79D3E503F607B2F76_13</vt:lpwstr>
  </property>
  <property fmtid="{D5CDD505-2E9C-101B-9397-08002B2CF9AE}" pid="4" name="KSOTemplateDocerSaveRecord">
    <vt:lpwstr>eyJoZGlkIjoiNmEyMWUyZTJlNjRhYmQ5MzFlOTA3ODFhNTk4NjIyZDUiLCJ1c2VySWQiOiIxMTcwODI0MzgxIn0=</vt:lpwstr>
  </property>
</Properties>
</file>